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4E03" w14:textId="77777777" w:rsidR="00E06B70" w:rsidRPr="00A3253C" w:rsidRDefault="00E06B70" w:rsidP="00E06B70">
      <w:pPr>
        <w:pStyle w:val="Heading1"/>
      </w:pPr>
      <w:r w:rsidRPr="00A3253C">
        <w:t xml:space="preserve">Economic Wrap </w:t>
      </w:r>
    </w:p>
    <w:p w14:paraId="10F06975" w14:textId="66877494" w:rsidR="00E06B70" w:rsidRPr="00A3253C" w:rsidRDefault="00021043" w:rsidP="00E06B70">
      <w:pPr>
        <w:pStyle w:val="Heading4"/>
      </w:pPr>
      <w:r w:rsidRPr="00A3253C">
        <w:t>October</w:t>
      </w:r>
      <w:r w:rsidR="00E06B70" w:rsidRPr="00A3253C">
        <w:t xml:space="preserve"> 2020</w:t>
      </w:r>
    </w:p>
    <w:p w14:paraId="388F7094" w14:textId="228FA0DC" w:rsidR="00E06B70" w:rsidRPr="00A3253C" w:rsidRDefault="00E06B70" w:rsidP="0023729C">
      <w:pPr>
        <w:pStyle w:val="Heading2"/>
        <w:ind w:right="3967"/>
      </w:pPr>
      <w:r w:rsidRPr="00A3253C">
        <w:t>Summary</w:t>
      </w:r>
    </w:p>
    <w:p w14:paraId="4C449587" w14:textId="7F6A3BE8" w:rsidR="00E06B70" w:rsidRPr="00A3253C" w:rsidRDefault="002B3CB2" w:rsidP="0023729C">
      <w:pPr>
        <w:pStyle w:val="ListBullet"/>
        <w:ind w:right="3967"/>
      </w:pPr>
      <w:r w:rsidRPr="00A3253C">
        <w:rPr>
          <w:b/>
          <w:noProof/>
          <w:szCs w:val="22"/>
        </w:rPr>
        <mc:AlternateContent>
          <mc:Choice Requires="wps">
            <w:drawing>
              <wp:anchor distT="0" distB="0" distL="114300" distR="114300" simplePos="0" relativeHeight="251661312" behindDoc="1" locked="1" layoutInCell="1" allowOverlap="1" wp14:anchorId="1D792090" wp14:editId="0C04F116">
                <wp:simplePos x="0" y="0"/>
                <wp:positionH relativeFrom="margin">
                  <wp:posOffset>4387215</wp:posOffset>
                </wp:positionH>
                <wp:positionV relativeFrom="margin">
                  <wp:posOffset>199390</wp:posOffset>
                </wp:positionV>
                <wp:extent cx="2279650" cy="6865620"/>
                <wp:effectExtent l="0" t="0" r="6350" b="114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6865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1DFC99F" w14:textId="77777777" w:rsidR="00BD65E2" w:rsidRPr="00321E83" w:rsidRDefault="00BD65E2" w:rsidP="005A7ACA">
                            <w:pPr>
                              <w:pStyle w:val="Heading5"/>
                            </w:pPr>
                            <w:r>
                              <w:t>1. S&amp;P/</w:t>
                            </w:r>
                            <w:r w:rsidRPr="00321E83">
                              <w:t>ASX 200 Price Index</w:t>
                            </w:r>
                          </w:p>
                          <w:p w14:paraId="4146AF74" w14:textId="023C0EDB" w:rsidR="00BD65E2" w:rsidRPr="008C7854" w:rsidRDefault="00BD65E2" w:rsidP="002B3CB2">
                            <w:r w:rsidRPr="002031F4">
                              <w:rPr>
                                <w:noProof/>
                              </w:rPr>
                              <w:drawing>
                                <wp:inline distT="0" distB="0" distL="0" distR="0" wp14:anchorId="266B732B" wp14:editId="01320668">
                                  <wp:extent cx="2183130" cy="1206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1206500"/>
                                          </a:xfrm>
                                          <a:prstGeom prst="rect">
                                            <a:avLst/>
                                          </a:prstGeom>
                                          <a:noFill/>
                                          <a:ln>
                                            <a:noFill/>
                                          </a:ln>
                                        </pic:spPr>
                                      </pic:pic>
                                    </a:graphicData>
                                  </a:graphic>
                                </wp:inline>
                              </w:drawing>
                            </w:r>
                          </w:p>
                          <w:p w14:paraId="4FC5D50C" w14:textId="77777777" w:rsidR="00BD65E2" w:rsidRPr="008C7854" w:rsidRDefault="00BD65E2" w:rsidP="005A7ACA">
                            <w:pPr>
                              <w:pStyle w:val="Disclaimer"/>
                            </w:pPr>
                            <w:r w:rsidRPr="008C7854">
                              <w:t>Source:  Bloomberg</w:t>
                            </w:r>
                            <w:r>
                              <w:t>, IOOF</w:t>
                            </w:r>
                          </w:p>
                          <w:p w14:paraId="738B1A61" w14:textId="77777777" w:rsidR="00BD65E2" w:rsidRDefault="00BD65E2" w:rsidP="005A7ACA">
                            <w:pPr>
                              <w:pStyle w:val="Heading5"/>
                            </w:pPr>
                            <w:r>
                              <w:t>2. ASX200 vs All-World, US$ terms</w:t>
                            </w:r>
                          </w:p>
                          <w:p w14:paraId="3A7FE018" w14:textId="7A382C28" w:rsidR="00BD65E2" w:rsidRPr="0038327E" w:rsidRDefault="00BD65E2" w:rsidP="002B3CB2">
                            <w:r w:rsidRPr="002031F4">
                              <w:rPr>
                                <w:noProof/>
                              </w:rPr>
                              <w:drawing>
                                <wp:inline distT="0" distB="0" distL="0" distR="0" wp14:anchorId="0B245E89" wp14:editId="61E98DCD">
                                  <wp:extent cx="2183130" cy="11264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1126490"/>
                                          </a:xfrm>
                                          <a:prstGeom prst="rect">
                                            <a:avLst/>
                                          </a:prstGeom>
                                          <a:noFill/>
                                          <a:ln>
                                            <a:noFill/>
                                          </a:ln>
                                        </pic:spPr>
                                      </pic:pic>
                                    </a:graphicData>
                                  </a:graphic>
                                </wp:inline>
                              </w:drawing>
                            </w:r>
                          </w:p>
                          <w:p w14:paraId="56C4BF13" w14:textId="77777777" w:rsidR="00BD65E2" w:rsidRDefault="00BD65E2" w:rsidP="005A7ACA">
                            <w:pPr>
                              <w:pStyle w:val="Disclaimer"/>
                            </w:pPr>
                            <w:r w:rsidRPr="008C7854">
                              <w:t>Source: Bloomberg</w:t>
                            </w:r>
                            <w:r>
                              <w:t>, IOOF</w:t>
                            </w:r>
                          </w:p>
                          <w:p w14:paraId="29FEE695" w14:textId="41262172" w:rsidR="00BD65E2" w:rsidRPr="00321E83" w:rsidRDefault="00BD65E2" w:rsidP="005A7ACA">
                            <w:pPr>
                              <w:pStyle w:val="Heading5"/>
                            </w:pPr>
                            <w:r>
                              <w:t>3. Australia – Growth vs Value stocks</w:t>
                            </w:r>
                          </w:p>
                          <w:p w14:paraId="32E09BAD" w14:textId="427E62FC" w:rsidR="00BD65E2" w:rsidRPr="008C7854" w:rsidRDefault="00BD65E2" w:rsidP="002B3CB2">
                            <w:r w:rsidRPr="002031F4">
                              <w:rPr>
                                <w:noProof/>
                              </w:rPr>
                              <w:drawing>
                                <wp:inline distT="0" distB="0" distL="0" distR="0" wp14:anchorId="32025EF8" wp14:editId="44461D01">
                                  <wp:extent cx="1927972" cy="1199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411" cy="1202277"/>
                                          </a:xfrm>
                                          <a:prstGeom prst="rect">
                                            <a:avLst/>
                                          </a:prstGeom>
                                          <a:noFill/>
                                          <a:ln>
                                            <a:noFill/>
                                          </a:ln>
                                        </pic:spPr>
                                      </pic:pic>
                                    </a:graphicData>
                                  </a:graphic>
                                </wp:inline>
                              </w:drawing>
                            </w:r>
                          </w:p>
                          <w:p w14:paraId="6DC10281" w14:textId="77777777" w:rsidR="00BD65E2" w:rsidRDefault="00BD65E2" w:rsidP="005A7ACA">
                            <w:pPr>
                              <w:pStyle w:val="Disclaimer"/>
                            </w:pPr>
                            <w:r w:rsidRPr="008C7854">
                              <w:t>Source: Bloomberg</w:t>
                            </w:r>
                            <w:r>
                              <w:t>, IOOF</w:t>
                            </w:r>
                          </w:p>
                          <w:p w14:paraId="6757A033" w14:textId="77777777" w:rsidR="00BD65E2" w:rsidRPr="00321E83" w:rsidRDefault="00BD65E2" w:rsidP="005A7ACA">
                            <w:pPr>
                              <w:pStyle w:val="Heading5"/>
                            </w:pPr>
                            <w:r>
                              <w:t>4. Emerging markets vs Developed Markets, (In USD)</w:t>
                            </w:r>
                            <w:r w:rsidRPr="00321E83">
                              <w:t xml:space="preserve"> </w:t>
                            </w:r>
                          </w:p>
                          <w:p w14:paraId="27A9B3DF" w14:textId="71B669A2" w:rsidR="00BD65E2" w:rsidRPr="008C7854" w:rsidRDefault="00BD65E2" w:rsidP="002B3CB2">
                            <w:r w:rsidRPr="002031F4">
                              <w:rPr>
                                <w:noProof/>
                              </w:rPr>
                              <w:drawing>
                                <wp:inline distT="0" distB="0" distL="0" distR="0" wp14:anchorId="447D77FF" wp14:editId="7DA42F60">
                                  <wp:extent cx="2183130" cy="1143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130" cy="1143635"/>
                                          </a:xfrm>
                                          <a:prstGeom prst="rect">
                                            <a:avLst/>
                                          </a:prstGeom>
                                          <a:noFill/>
                                          <a:ln>
                                            <a:noFill/>
                                          </a:ln>
                                        </pic:spPr>
                                      </pic:pic>
                                    </a:graphicData>
                                  </a:graphic>
                                </wp:inline>
                              </w:drawing>
                            </w:r>
                          </w:p>
                          <w:p w14:paraId="346648B4" w14:textId="77777777" w:rsidR="00BD65E2" w:rsidRDefault="00BD65E2" w:rsidP="005A7ACA">
                            <w:pPr>
                              <w:pStyle w:val="Disclaimer"/>
                            </w:pPr>
                            <w:r w:rsidRPr="008C7854">
                              <w:t>Source</w:t>
                            </w:r>
                            <w:r>
                              <w:t>s</w:t>
                            </w:r>
                            <w:r w:rsidRPr="008C7854">
                              <w:t>: Bloomberg</w:t>
                            </w:r>
                            <w:r>
                              <w:t>, MSCI, S&amp;P, IOOF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92090" id="_x0000_t202" coordsize="21600,21600" o:spt="202" path="m,l,21600r21600,l21600,xe">
                <v:stroke joinstyle="miter"/>
                <v:path gradientshapeok="t" o:connecttype="rect"/>
              </v:shapetype>
              <v:shape id="Text Box 85" o:spid="_x0000_s1026" type="#_x0000_t202" style="position:absolute;left:0;text-align:left;margin-left:345.45pt;margin-top:15.7pt;width:179.5pt;height:54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" filled="f" stroked="f">
                <v:textbox inset="0,0,0,0">
                  <w:txbxContent>
                    <w:p w14:paraId="41DFC99F" w14:textId="77777777" w:rsidR="00BD65E2" w:rsidRPr="00321E83" w:rsidRDefault="00BD65E2" w:rsidP="005A7ACA">
                      <w:pPr>
                        <w:pStyle w:val="Heading5"/>
                      </w:pPr>
                      <w:r>
                        <w:t>1. S&amp;P/</w:t>
                      </w:r>
                      <w:r w:rsidRPr="00321E83">
                        <w:t>ASX 200 Price Index</w:t>
                      </w:r>
                    </w:p>
                    <w:p w14:paraId="4146AF74" w14:textId="023C0EDB" w:rsidR="00BD65E2" w:rsidRPr="008C7854" w:rsidRDefault="00BD65E2" w:rsidP="002B3CB2">
                      <w:r w:rsidRPr="002031F4">
                        <w:rPr>
                          <w:noProof/>
                        </w:rPr>
                        <w:drawing>
                          <wp:inline distT="0" distB="0" distL="0" distR="0" wp14:anchorId="266B732B" wp14:editId="01320668">
                            <wp:extent cx="2183130" cy="1206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3130" cy="1206500"/>
                                    </a:xfrm>
                                    <a:prstGeom prst="rect">
                                      <a:avLst/>
                                    </a:prstGeom>
                                    <a:noFill/>
                                    <a:ln>
                                      <a:noFill/>
                                    </a:ln>
                                  </pic:spPr>
                                </pic:pic>
                              </a:graphicData>
                            </a:graphic>
                          </wp:inline>
                        </w:drawing>
                      </w:r>
                    </w:p>
                    <w:p w14:paraId="4FC5D50C" w14:textId="77777777" w:rsidR="00BD65E2" w:rsidRPr="008C7854" w:rsidRDefault="00BD65E2" w:rsidP="005A7ACA">
                      <w:pPr>
                        <w:pStyle w:val="Disclaimer"/>
                      </w:pPr>
                      <w:r w:rsidRPr="008C7854">
                        <w:t>Source:  Bloomberg</w:t>
                      </w:r>
                      <w:r>
                        <w:t>, IOOF</w:t>
                      </w:r>
                    </w:p>
                    <w:p w14:paraId="738B1A61" w14:textId="77777777" w:rsidR="00BD65E2" w:rsidRDefault="00BD65E2" w:rsidP="005A7ACA">
                      <w:pPr>
                        <w:pStyle w:val="Heading5"/>
                      </w:pPr>
                      <w:r>
                        <w:t>2. ASX200 vs All-World, US$ terms</w:t>
                      </w:r>
                    </w:p>
                    <w:p w14:paraId="3A7FE018" w14:textId="7A382C28" w:rsidR="00BD65E2" w:rsidRPr="0038327E" w:rsidRDefault="00BD65E2" w:rsidP="002B3CB2">
                      <w:r w:rsidRPr="002031F4">
                        <w:rPr>
                          <w:noProof/>
                        </w:rPr>
                        <w:drawing>
                          <wp:inline distT="0" distB="0" distL="0" distR="0" wp14:anchorId="0B245E89" wp14:editId="61E98DCD">
                            <wp:extent cx="2183130" cy="11264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130" cy="1126490"/>
                                    </a:xfrm>
                                    <a:prstGeom prst="rect">
                                      <a:avLst/>
                                    </a:prstGeom>
                                    <a:noFill/>
                                    <a:ln>
                                      <a:noFill/>
                                    </a:ln>
                                  </pic:spPr>
                                </pic:pic>
                              </a:graphicData>
                            </a:graphic>
                          </wp:inline>
                        </w:drawing>
                      </w:r>
                    </w:p>
                    <w:p w14:paraId="56C4BF13" w14:textId="77777777" w:rsidR="00BD65E2" w:rsidRDefault="00BD65E2" w:rsidP="005A7ACA">
                      <w:pPr>
                        <w:pStyle w:val="Disclaimer"/>
                      </w:pPr>
                      <w:r w:rsidRPr="008C7854">
                        <w:t>Source: Bloomberg</w:t>
                      </w:r>
                      <w:r>
                        <w:t>, IOOF</w:t>
                      </w:r>
                    </w:p>
                    <w:p w14:paraId="29FEE695" w14:textId="41262172" w:rsidR="00BD65E2" w:rsidRPr="00321E83" w:rsidRDefault="00BD65E2" w:rsidP="005A7ACA">
                      <w:pPr>
                        <w:pStyle w:val="Heading5"/>
                      </w:pPr>
                      <w:r>
                        <w:t>3. Australia – Growth vs Value stocks</w:t>
                      </w:r>
                    </w:p>
                    <w:p w14:paraId="32E09BAD" w14:textId="427E62FC" w:rsidR="00BD65E2" w:rsidRPr="008C7854" w:rsidRDefault="00BD65E2" w:rsidP="002B3CB2">
                      <w:r w:rsidRPr="002031F4">
                        <w:rPr>
                          <w:noProof/>
                        </w:rPr>
                        <w:drawing>
                          <wp:inline distT="0" distB="0" distL="0" distR="0" wp14:anchorId="32025EF8" wp14:editId="44461D01">
                            <wp:extent cx="1927972" cy="1199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2411" cy="1202277"/>
                                    </a:xfrm>
                                    <a:prstGeom prst="rect">
                                      <a:avLst/>
                                    </a:prstGeom>
                                    <a:noFill/>
                                    <a:ln>
                                      <a:noFill/>
                                    </a:ln>
                                  </pic:spPr>
                                </pic:pic>
                              </a:graphicData>
                            </a:graphic>
                          </wp:inline>
                        </w:drawing>
                      </w:r>
                    </w:p>
                    <w:p w14:paraId="6DC10281" w14:textId="77777777" w:rsidR="00BD65E2" w:rsidRDefault="00BD65E2" w:rsidP="005A7ACA">
                      <w:pPr>
                        <w:pStyle w:val="Disclaimer"/>
                      </w:pPr>
                      <w:r w:rsidRPr="008C7854">
                        <w:t>Source: Bloomberg</w:t>
                      </w:r>
                      <w:r>
                        <w:t>, IOOF</w:t>
                      </w:r>
                    </w:p>
                    <w:p w14:paraId="6757A033" w14:textId="77777777" w:rsidR="00BD65E2" w:rsidRPr="00321E83" w:rsidRDefault="00BD65E2" w:rsidP="005A7ACA">
                      <w:pPr>
                        <w:pStyle w:val="Heading5"/>
                      </w:pPr>
                      <w:r>
                        <w:t>4. Emerging markets vs Developed Markets, (In USD)</w:t>
                      </w:r>
                      <w:r w:rsidRPr="00321E83">
                        <w:t xml:space="preserve"> </w:t>
                      </w:r>
                    </w:p>
                    <w:p w14:paraId="27A9B3DF" w14:textId="71B669A2" w:rsidR="00BD65E2" w:rsidRPr="008C7854" w:rsidRDefault="00BD65E2" w:rsidP="002B3CB2">
                      <w:r w:rsidRPr="002031F4">
                        <w:rPr>
                          <w:noProof/>
                        </w:rPr>
                        <w:drawing>
                          <wp:inline distT="0" distB="0" distL="0" distR="0" wp14:anchorId="447D77FF" wp14:editId="7DA42F60">
                            <wp:extent cx="2183130" cy="1143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3130" cy="1143635"/>
                                    </a:xfrm>
                                    <a:prstGeom prst="rect">
                                      <a:avLst/>
                                    </a:prstGeom>
                                    <a:noFill/>
                                    <a:ln>
                                      <a:noFill/>
                                    </a:ln>
                                  </pic:spPr>
                                </pic:pic>
                              </a:graphicData>
                            </a:graphic>
                          </wp:inline>
                        </w:drawing>
                      </w:r>
                    </w:p>
                    <w:p w14:paraId="346648B4" w14:textId="77777777" w:rsidR="00BD65E2" w:rsidRDefault="00BD65E2" w:rsidP="005A7ACA">
                      <w:pPr>
                        <w:pStyle w:val="Disclaimer"/>
                      </w:pPr>
                      <w:r w:rsidRPr="008C7854">
                        <w:t>Source</w:t>
                      </w:r>
                      <w:r>
                        <w:t>s</w:t>
                      </w:r>
                      <w:r w:rsidRPr="008C7854">
                        <w:t>: Bloomberg</w:t>
                      </w:r>
                      <w:r>
                        <w:t>, MSCI, S&amp;P, IOOF</w:t>
                      </w:r>
                    </w:p>
                  </w:txbxContent>
                </v:textbox>
                <w10:wrap anchorx="margin" anchory="margin"/>
                <w10:anchorlock/>
              </v:shape>
            </w:pict>
          </mc:Fallback>
        </mc:AlternateContent>
      </w:r>
      <w:r w:rsidR="00E06B70" w:rsidRPr="00A3253C">
        <w:t xml:space="preserve">Market performance was </w:t>
      </w:r>
      <w:r w:rsidR="00BD65E2">
        <w:t>mixed</w:t>
      </w:r>
      <w:r w:rsidR="00E06B70" w:rsidRPr="00A3253C">
        <w:t xml:space="preserve"> during </w:t>
      </w:r>
      <w:r w:rsidR="00B83F82" w:rsidRPr="00A3253C">
        <w:t xml:space="preserve">October </w:t>
      </w:r>
      <w:r w:rsidR="0056135C">
        <w:t>as</w:t>
      </w:r>
      <w:r w:rsidR="00B83F82" w:rsidRPr="00A3253C">
        <w:t xml:space="preserve"> </w:t>
      </w:r>
      <w:r w:rsidR="002D0162" w:rsidRPr="00A3253C">
        <w:t>developed markets including the US</w:t>
      </w:r>
      <w:r w:rsidR="00B83F82" w:rsidRPr="00A3253C">
        <w:t xml:space="preserve"> struggled.</w:t>
      </w:r>
    </w:p>
    <w:p w14:paraId="3250DC5D" w14:textId="77777777" w:rsidR="00815FB4" w:rsidRPr="00A3253C" w:rsidRDefault="00E06B70" w:rsidP="0023729C">
      <w:pPr>
        <w:pStyle w:val="ListBullet"/>
        <w:ind w:right="3967"/>
      </w:pPr>
      <w:r w:rsidRPr="00A3253C">
        <w:t>Coronavirus cas</w:t>
      </w:r>
      <w:r w:rsidR="00B83F82" w:rsidRPr="00A3253C">
        <w:t>e growt</w:t>
      </w:r>
      <w:bookmarkStart w:id="0" w:name="_GoBack"/>
      <w:bookmarkEnd w:id="0"/>
      <w:r w:rsidR="00B83F82" w:rsidRPr="00A3253C">
        <w:t>h accelerated especially in Europe and also in the USA</w:t>
      </w:r>
      <w:r w:rsidRPr="00A3253C">
        <w:t>.</w:t>
      </w:r>
      <w:r w:rsidR="00B83F82" w:rsidRPr="00A3253C">
        <w:t xml:space="preserve"> Both regions are seeing hospitalisations </w:t>
      </w:r>
      <w:r w:rsidR="00815FB4" w:rsidRPr="00A3253C">
        <w:t xml:space="preserve">and fatalities </w:t>
      </w:r>
      <w:r w:rsidR="00B83F82" w:rsidRPr="00A3253C">
        <w:t xml:space="preserve">on the </w:t>
      </w:r>
      <w:r w:rsidR="00815FB4" w:rsidRPr="00A3253C">
        <w:t>rise,</w:t>
      </w:r>
      <w:r w:rsidR="00B83F82" w:rsidRPr="00A3253C">
        <w:t xml:space="preserve"> but these remain below prior peaks</w:t>
      </w:r>
      <w:r w:rsidR="00815FB4" w:rsidRPr="00A3253C">
        <w:t xml:space="preserve">. </w:t>
      </w:r>
    </w:p>
    <w:p w14:paraId="458D4D93" w14:textId="451F74C3" w:rsidR="00815FB4" w:rsidRPr="00A3253C" w:rsidRDefault="00815FB4" w:rsidP="0023729C">
      <w:pPr>
        <w:pStyle w:val="ListBullet"/>
        <w:ind w:right="3967"/>
      </w:pPr>
      <w:r w:rsidRPr="00A3253C">
        <w:t>The surge in cases has prompted new lockdown measures across Europe of varying levels of severity.</w:t>
      </w:r>
      <w:r w:rsidR="00A64C87" w:rsidRPr="00A3253C">
        <w:t xml:space="preserve"> </w:t>
      </w:r>
      <w:r w:rsidR="002D0162" w:rsidRPr="00A3253C">
        <w:t>W</w:t>
      </w:r>
      <w:r w:rsidR="00A64C87" w:rsidRPr="00A3253C">
        <w:t>e believe a measured approach will prevail</w:t>
      </w:r>
      <w:r w:rsidR="0023541D" w:rsidRPr="00A3253C">
        <w:t xml:space="preserve"> with Germany an example of this</w:t>
      </w:r>
      <w:r w:rsidR="00A64C87" w:rsidRPr="00A3253C">
        <w:t>.</w:t>
      </w:r>
      <w:r w:rsidRPr="00A3253C">
        <w:t xml:space="preserve"> </w:t>
      </w:r>
    </w:p>
    <w:p w14:paraId="0F9FFE48" w14:textId="04C4DD3E" w:rsidR="00E06B70" w:rsidRPr="00A3253C" w:rsidRDefault="0023541D" w:rsidP="0023729C">
      <w:pPr>
        <w:pStyle w:val="ListBullet"/>
        <w:ind w:right="3967"/>
      </w:pPr>
      <w:r w:rsidRPr="00A3253C">
        <w:t>Joe Biden, the Democrat nominee has defeated incumbent President Trump in the US Presidential Election. Results in the Congressional races were tighter with a Republican Senate a likely outcome that would stifle Biden’s legislative agenda.</w:t>
      </w:r>
    </w:p>
    <w:p w14:paraId="0F685863" w14:textId="7B34B4F2" w:rsidR="0023541D" w:rsidRPr="00A3253C" w:rsidRDefault="0023541D" w:rsidP="0023729C">
      <w:pPr>
        <w:pStyle w:val="ListBullet"/>
        <w:ind w:right="3967"/>
      </w:pPr>
      <w:r w:rsidRPr="00A3253C">
        <w:t xml:space="preserve">Promising vaccine trial results by a Pfizer joint-venture </w:t>
      </w:r>
      <w:r w:rsidR="00BD65E2">
        <w:t xml:space="preserve">in November </w:t>
      </w:r>
      <w:r w:rsidR="002D0162" w:rsidRPr="00A3253C">
        <w:t xml:space="preserve">triggered </w:t>
      </w:r>
      <w:r w:rsidR="00BD65E2">
        <w:t>dispersion in financial markets</w:t>
      </w:r>
      <w:r w:rsidRPr="00A3253C">
        <w:t xml:space="preserve"> on the prospects of </w:t>
      </w:r>
      <w:r w:rsidR="002D0162" w:rsidRPr="00A3253C">
        <w:t>a viable solution to the pandemic and stronger economic growth.</w:t>
      </w:r>
    </w:p>
    <w:p w14:paraId="6BFB80F4" w14:textId="2A8F10EB" w:rsidR="00142500" w:rsidRPr="00A3253C" w:rsidRDefault="00E06B70" w:rsidP="0023729C">
      <w:pPr>
        <w:pStyle w:val="Heading2"/>
        <w:ind w:right="3967"/>
        <w:rPr>
          <w:szCs w:val="24"/>
        </w:rPr>
      </w:pPr>
      <w:r w:rsidRPr="00A3253C">
        <w:t xml:space="preserve">Markets </w:t>
      </w:r>
    </w:p>
    <w:p w14:paraId="57FD85E1" w14:textId="1455DEF6" w:rsidR="00E06B70" w:rsidRPr="00A3253C" w:rsidRDefault="00E06B70" w:rsidP="0023729C">
      <w:pPr>
        <w:pStyle w:val="ListBullet"/>
        <w:ind w:right="3967"/>
      </w:pPr>
      <w:r w:rsidRPr="00A3253C">
        <w:t xml:space="preserve">Risk assets including equities and high-yield bonds </w:t>
      </w:r>
      <w:r w:rsidR="00341759" w:rsidRPr="00A3253C">
        <w:t>were broadly positive however coronavirus fears weighed on global equity markets (see page 11)</w:t>
      </w:r>
      <w:r w:rsidRPr="00A3253C">
        <w:t xml:space="preserve">. </w:t>
      </w:r>
    </w:p>
    <w:p w14:paraId="3405F1DD" w14:textId="5A8D2D16" w:rsidR="00E06B70" w:rsidRPr="00A3253C" w:rsidRDefault="00E06B70" w:rsidP="0023729C">
      <w:pPr>
        <w:pStyle w:val="ListBullet"/>
        <w:ind w:right="3967"/>
      </w:pPr>
      <w:r w:rsidRPr="00A3253C">
        <w:t>Australian equities outperformed vs global peers (see chart 2) while value stocks</w:t>
      </w:r>
      <w:r w:rsidR="00341759" w:rsidRPr="00A3253C">
        <w:t xml:space="preserve"> </w:t>
      </w:r>
      <w:r w:rsidR="0098135B" w:rsidRPr="00A3253C">
        <w:t>continued to falter</w:t>
      </w:r>
      <w:r w:rsidR="00341759" w:rsidRPr="00A3253C">
        <w:t xml:space="preserve"> (</w:t>
      </w:r>
      <w:r w:rsidRPr="00A3253C">
        <w:t xml:space="preserve">see chart 3). Emerging market </w:t>
      </w:r>
      <w:r w:rsidR="00341759" w:rsidRPr="00A3253C">
        <w:t>strength has become more pronounced in recent months</w:t>
      </w:r>
      <w:r w:rsidRPr="00A3253C">
        <w:t xml:space="preserve"> (see chart 4) after a </w:t>
      </w:r>
      <w:r w:rsidR="0023541D" w:rsidRPr="00A3253C">
        <w:t>strong month for Chinese equities, bolstered by the prospect of a Biden win and strong economic data.</w:t>
      </w:r>
    </w:p>
    <w:p w14:paraId="631C7F0E" w14:textId="7575A005" w:rsidR="00E06B70" w:rsidRPr="00A3253C" w:rsidRDefault="00E06B70" w:rsidP="0023729C">
      <w:pPr>
        <w:pStyle w:val="Heading2"/>
        <w:ind w:right="3967"/>
      </w:pPr>
      <w:r w:rsidRPr="00A3253C">
        <w:t xml:space="preserve">Key economic news </w:t>
      </w:r>
    </w:p>
    <w:p w14:paraId="574318C5" w14:textId="76B285C9" w:rsidR="00E06B70" w:rsidRPr="00A3253C" w:rsidRDefault="0023541D" w:rsidP="0023729C">
      <w:pPr>
        <w:pStyle w:val="ListBullet"/>
        <w:ind w:right="3967"/>
      </w:pPr>
      <w:r w:rsidRPr="00A3253C">
        <w:t xml:space="preserve">The 2021 </w:t>
      </w:r>
      <w:r w:rsidR="002D0162" w:rsidRPr="00A3253C">
        <w:t xml:space="preserve">Australian </w:t>
      </w:r>
      <w:r w:rsidRPr="00A3253C">
        <w:t xml:space="preserve">Federal Budget </w:t>
      </w:r>
      <w:r w:rsidR="002D0162" w:rsidRPr="00A3253C">
        <w:t>targeted</w:t>
      </w:r>
      <w:r w:rsidRPr="00A3253C">
        <w:t xml:space="preserve"> a business-led recovery from the recession caused by coronavirus lockdowns. </w:t>
      </w:r>
    </w:p>
    <w:p w14:paraId="242B420D" w14:textId="42030EAA" w:rsidR="0023541D" w:rsidRPr="00A3253C" w:rsidRDefault="0023541D" w:rsidP="0023729C">
      <w:pPr>
        <w:pStyle w:val="ListBullet"/>
        <w:ind w:right="3967"/>
      </w:pPr>
      <w:r w:rsidRPr="00A3253C">
        <w:t xml:space="preserve">The RBA launched a new series of measures to promote growth and weaken the Australian dollar. </w:t>
      </w:r>
    </w:p>
    <w:p w14:paraId="38F40F54" w14:textId="77777777" w:rsidR="00E06B70" w:rsidRPr="00A3253C" w:rsidRDefault="00E06B70" w:rsidP="0023729C">
      <w:pPr>
        <w:pStyle w:val="Heading2"/>
        <w:ind w:right="-2"/>
      </w:pPr>
      <w:r w:rsidRPr="00A3253C">
        <w:lastRenderedPageBreak/>
        <w:t xml:space="preserve">Key company news </w:t>
      </w:r>
    </w:p>
    <w:p w14:paraId="1F48B8F0" w14:textId="72A182AE" w:rsidR="00E06B70" w:rsidRPr="00A3253C" w:rsidRDefault="0098135B" w:rsidP="0023729C">
      <w:pPr>
        <w:pStyle w:val="BodyText"/>
        <w:ind w:right="-2"/>
      </w:pPr>
      <w:r w:rsidRPr="00A3253C">
        <w:t>Acquisition interest saw strong returns for Coca Cola Amatil, the target of a bid by Coca Cola European Partners while Link Administration Holdings also saw takeover interest with bidding by a Pacific Equity Partners and Carlyle Group consortium of investors. Mesoblast shares struggled after its disclosure that the US FDA had not approved its remestem</w:t>
      </w:r>
      <w:r w:rsidR="00D744A5" w:rsidRPr="00A3253C">
        <w:t>cel-L treatment for paediatric patients dealing with steroid-refractory acute graft versus host disease (SR-aGVHD) with a class action by shareholders also weighing on the business.</w:t>
      </w:r>
      <w:r w:rsidRPr="00A3253C">
        <w:t xml:space="preserve"> </w:t>
      </w:r>
    </w:p>
    <w:p w14:paraId="2CE60D33" w14:textId="7763C7F9" w:rsidR="00CD797E" w:rsidRPr="00A3253C" w:rsidRDefault="005A7ACA" w:rsidP="005A7ACA">
      <w:pPr>
        <w:pStyle w:val="Heading2"/>
      </w:pPr>
      <w:r w:rsidRPr="00A3253C">
        <w:t>Sector and stock returns</w:t>
      </w:r>
    </w:p>
    <w:tbl>
      <w:tblPr>
        <w:tblStyle w:val="TableIOOF"/>
        <w:tblW w:w="4387" w:type="pct"/>
        <w:tblLayout w:type="fixed"/>
        <w:tblLook w:val="04A0" w:firstRow="1" w:lastRow="0" w:firstColumn="1" w:lastColumn="0" w:noHBand="0" w:noVBand="1"/>
      </w:tblPr>
      <w:tblGrid>
        <w:gridCol w:w="906"/>
        <w:gridCol w:w="2878"/>
        <w:gridCol w:w="1471"/>
        <w:gridCol w:w="2913"/>
        <w:gridCol w:w="780"/>
      </w:tblGrid>
      <w:tr w:rsidR="001E77C4" w:rsidRPr="00A3253C" w14:paraId="1F4146C3" w14:textId="77777777" w:rsidTr="0023729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5"/>
            <w:tcBorders>
              <w:bottom w:val="single" w:sz="2" w:space="0" w:color="FFFFFF" w:themeColor="background1"/>
            </w:tcBorders>
          </w:tcPr>
          <w:p w14:paraId="211E376E" w14:textId="24F42124" w:rsidR="001E77C4" w:rsidRPr="00A3253C" w:rsidRDefault="001E77C4" w:rsidP="001E77C4">
            <w:pPr>
              <w:pStyle w:val="TableHeading"/>
              <w:jc w:val="center"/>
            </w:pPr>
            <w:r w:rsidRPr="00A3253C">
              <w:t>ASX/S&amp;P 200 Sectors (GICS)</w:t>
            </w:r>
          </w:p>
        </w:tc>
      </w:tr>
      <w:tr w:rsidR="001E77C4" w:rsidRPr="00A3253C" w14:paraId="46EEE06A" w14:textId="77777777" w:rsidTr="0023729C">
        <w:trPr>
          <w:trHeight w:val="153"/>
        </w:trPr>
        <w:tc>
          <w:tcPr>
            <w:tcW w:w="506" w:type="pct"/>
            <w:shd w:val="solid" w:color="83B827" w:themeColor="accent5" w:fill="F5F5F6" w:themeFill="background2"/>
          </w:tcPr>
          <w:p w14:paraId="1BAD6781" w14:textId="7F4BCC55" w:rsidR="001E77C4" w:rsidRPr="00A3253C" w:rsidRDefault="001E77C4" w:rsidP="001E77C4">
            <w:pPr>
              <w:pStyle w:val="TableHeading"/>
              <w:jc w:val="center"/>
            </w:pPr>
          </w:p>
        </w:tc>
        <w:tc>
          <w:tcPr>
            <w:tcW w:w="1608" w:type="pct"/>
            <w:shd w:val="solid" w:color="83B827" w:themeColor="accent5" w:fill="F5F5F6" w:themeFill="background2"/>
          </w:tcPr>
          <w:p w14:paraId="66688864" w14:textId="1F403060" w:rsidR="001E77C4" w:rsidRPr="00A3253C" w:rsidRDefault="001E77C4" w:rsidP="001E77C4">
            <w:pPr>
              <w:pStyle w:val="TableHeading"/>
            </w:pPr>
            <w:r w:rsidRPr="00A3253C">
              <w:t>Monthly</w:t>
            </w:r>
          </w:p>
        </w:tc>
        <w:tc>
          <w:tcPr>
            <w:tcW w:w="822" w:type="pct"/>
            <w:shd w:val="solid" w:color="83B827" w:themeColor="accent5" w:fill="F5F5F6" w:themeFill="background2"/>
          </w:tcPr>
          <w:p w14:paraId="53455DF0" w14:textId="35E87DEC" w:rsidR="001E77C4" w:rsidRPr="00A3253C" w:rsidRDefault="001E77C4" w:rsidP="001E77C4">
            <w:pPr>
              <w:pStyle w:val="TableHeading"/>
              <w:jc w:val="center"/>
              <w:rPr>
                <w:color w:val="FFFFFF" w:themeColor="background1"/>
              </w:rPr>
            </w:pPr>
            <w:r w:rsidRPr="00A3253C">
              <w:rPr>
                <w:color w:val="FFFFFF" w:themeColor="background1"/>
              </w:rPr>
              <w:t xml:space="preserve">% </w:t>
            </w:r>
            <w:r w:rsidRPr="00A3253C">
              <w:rPr>
                <w:rFonts w:ascii="Arial" w:hAnsi="Arial" w:cs="Arial"/>
                <w:bCs/>
                <w:color w:val="FFFFFF" w:themeColor="background1"/>
                <w:szCs w:val="16"/>
              </w:rPr>
              <w:t>∆</w:t>
            </w:r>
          </w:p>
        </w:tc>
        <w:tc>
          <w:tcPr>
            <w:tcW w:w="1628" w:type="pct"/>
            <w:shd w:val="solid" w:color="83B827" w:themeColor="accent5" w:fill="F5F5F6" w:themeFill="background2"/>
          </w:tcPr>
          <w:p w14:paraId="27319276" w14:textId="4E5EEF87" w:rsidR="001E77C4" w:rsidRPr="00A3253C" w:rsidRDefault="001E77C4" w:rsidP="001E77C4">
            <w:pPr>
              <w:pStyle w:val="TableHeading"/>
              <w:rPr>
                <w:color w:val="FFFFFF" w:themeColor="background1"/>
              </w:rPr>
            </w:pPr>
            <w:r w:rsidRPr="00A3253C">
              <w:rPr>
                <w:color w:val="FFFFFF" w:themeColor="background1"/>
              </w:rPr>
              <w:t>Quarterly</w:t>
            </w:r>
          </w:p>
        </w:tc>
        <w:tc>
          <w:tcPr>
            <w:tcW w:w="436" w:type="pct"/>
            <w:shd w:val="solid" w:color="83B827" w:themeColor="accent5" w:fill="F5F5F6" w:themeFill="background2"/>
          </w:tcPr>
          <w:p w14:paraId="33CC7D47" w14:textId="11FD6387" w:rsidR="001E77C4" w:rsidRPr="00A3253C" w:rsidRDefault="001E77C4" w:rsidP="001E77C4">
            <w:pPr>
              <w:pStyle w:val="TableHeading"/>
              <w:jc w:val="center"/>
              <w:rPr>
                <w:color w:val="FFFFFF" w:themeColor="background1"/>
              </w:rPr>
            </w:pPr>
            <w:r w:rsidRPr="00A3253C">
              <w:rPr>
                <w:color w:val="FFFFFF" w:themeColor="background1"/>
              </w:rPr>
              <w:t xml:space="preserve">% </w:t>
            </w:r>
            <w:r w:rsidRPr="00A3253C">
              <w:rPr>
                <w:rFonts w:ascii="Arial" w:hAnsi="Arial" w:cs="Arial"/>
                <w:bCs/>
                <w:color w:val="FFFFFF" w:themeColor="background1"/>
                <w:szCs w:val="16"/>
              </w:rPr>
              <w:t>∆</w:t>
            </w:r>
          </w:p>
        </w:tc>
      </w:tr>
      <w:tr w:rsidR="002031F4" w:rsidRPr="00A3253C" w14:paraId="600F6B66"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3481C771" w14:textId="16974B00" w:rsidR="002031F4" w:rsidRPr="00A3253C" w:rsidRDefault="002031F4" w:rsidP="002031F4">
            <w:pPr>
              <w:pStyle w:val="TableText"/>
              <w:jc w:val="center"/>
              <w:rPr>
                <w:rFonts w:cstheme="minorHAnsi"/>
                <w:color w:val="00B050"/>
                <w:szCs w:val="18"/>
              </w:rPr>
            </w:pPr>
            <w:r w:rsidRPr="00A3253C">
              <w:rPr>
                <w:rFonts w:cstheme="minorHAnsi"/>
                <w:color w:val="00B050"/>
                <w:szCs w:val="18"/>
              </w:rPr>
              <w:t>▲</w:t>
            </w:r>
          </w:p>
        </w:tc>
        <w:tc>
          <w:tcPr>
            <w:tcW w:w="1608" w:type="pct"/>
          </w:tcPr>
          <w:p w14:paraId="71CCF76A" w14:textId="72EF96C6" w:rsidR="002031F4" w:rsidRPr="00A3253C" w:rsidRDefault="002031F4" w:rsidP="002031F4">
            <w:pPr>
              <w:pStyle w:val="TableText"/>
              <w:rPr>
                <w:rFonts w:cs="Calibri"/>
                <w:szCs w:val="16"/>
              </w:rPr>
            </w:pPr>
            <w:r w:rsidRPr="00A3253C">
              <w:rPr>
                <w:rFonts w:cs="Calibri"/>
                <w:szCs w:val="16"/>
              </w:rPr>
              <w:t>Consumer Discretionary</w:t>
            </w:r>
          </w:p>
        </w:tc>
        <w:tc>
          <w:tcPr>
            <w:tcW w:w="822" w:type="pct"/>
            <w:vAlign w:val="center"/>
          </w:tcPr>
          <w:p w14:paraId="5F3C94A4" w14:textId="3D380DA7" w:rsidR="002031F4" w:rsidRPr="00A3253C" w:rsidRDefault="002031F4" w:rsidP="002031F4">
            <w:pPr>
              <w:pStyle w:val="TableText"/>
              <w:jc w:val="center"/>
            </w:pPr>
            <w:r w:rsidRPr="00A3253C">
              <w:t>1.33</w:t>
            </w:r>
          </w:p>
        </w:tc>
        <w:tc>
          <w:tcPr>
            <w:tcW w:w="1628" w:type="pct"/>
          </w:tcPr>
          <w:p w14:paraId="321F5097" w14:textId="54D08748" w:rsidR="002031F4" w:rsidRPr="00A3253C" w:rsidRDefault="002031F4" w:rsidP="002031F4">
            <w:pPr>
              <w:pStyle w:val="TableText"/>
              <w:rPr>
                <w:rFonts w:cs="Calibri"/>
                <w:szCs w:val="16"/>
              </w:rPr>
            </w:pPr>
            <w:r w:rsidRPr="00A3253C">
              <w:rPr>
                <w:rFonts w:cs="Calibri"/>
                <w:szCs w:val="16"/>
              </w:rPr>
              <w:t>Consumer Discretionary</w:t>
            </w:r>
          </w:p>
        </w:tc>
        <w:tc>
          <w:tcPr>
            <w:tcW w:w="436" w:type="pct"/>
            <w:vAlign w:val="center"/>
          </w:tcPr>
          <w:p w14:paraId="766371BE" w14:textId="5F037EBF" w:rsidR="002031F4" w:rsidRPr="00A3253C" w:rsidRDefault="002031F4" w:rsidP="002031F4">
            <w:pPr>
              <w:pStyle w:val="TableText"/>
              <w:rPr>
                <w:rFonts w:cs="Calibri"/>
                <w:szCs w:val="16"/>
              </w:rPr>
            </w:pPr>
            <w:r w:rsidRPr="00A3253C">
              <w:rPr>
                <w:rFonts w:ascii="Arial" w:hAnsi="Arial" w:cs="Arial"/>
                <w:szCs w:val="18"/>
              </w:rPr>
              <w:t>6.32</w:t>
            </w:r>
          </w:p>
        </w:tc>
      </w:tr>
      <w:tr w:rsidR="002031F4" w:rsidRPr="00A3253C" w14:paraId="6D20E9D0" w14:textId="77777777" w:rsidTr="00341759">
        <w:trPr>
          <w:trHeight w:val="20"/>
        </w:trPr>
        <w:tc>
          <w:tcPr>
            <w:tcW w:w="506" w:type="pct"/>
            <w:vAlign w:val="center"/>
          </w:tcPr>
          <w:p w14:paraId="75971495" w14:textId="351DE801" w:rsidR="002031F4" w:rsidRPr="00A3253C" w:rsidRDefault="002031F4" w:rsidP="002031F4">
            <w:pPr>
              <w:pStyle w:val="TableText"/>
              <w:jc w:val="center"/>
              <w:rPr>
                <w:rFonts w:cstheme="minorHAnsi"/>
                <w:szCs w:val="18"/>
              </w:rPr>
            </w:pPr>
            <w:r w:rsidRPr="00A3253C">
              <w:rPr>
                <w:rFonts w:cstheme="minorHAnsi"/>
                <w:color w:val="00B050"/>
                <w:szCs w:val="18"/>
              </w:rPr>
              <w:t>▲</w:t>
            </w:r>
          </w:p>
        </w:tc>
        <w:tc>
          <w:tcPr>
            <w:tcW w:w="1608" w:type="pct"/>
          </w:tcPr>
          <w:p w14:paraId="3FFD8227" w14:textId="3E6415B4" w:rsidR="002031F4" w:rsidRPr="00A3253C" w:rsidRDefault="002031F4" w:rsidP="002031F4">
            <w:pPr>
              <w:pStyle w:val="TableText"/>
            </w:pPr>
            <w:r w:rsidRPr="00A3253C">
              <w:rPr>
                <w:rFonts w:cs="Calibri"/>
                <w:szCs w:val="16"/>
              </w:rPr>
              <w:t>Consumer Staples</w:t>
            </w:r>
          </w:p>
        </w:tc>
        <w:tc>
          <w:tcPr>
            <w:tcW w:w="822" w:type="pct"/>
            <w:vAlign w:val="center"/>
          </w:tcPr>
          <w:p w14:paraId="7B76ECE7" w14:textId="3B36F37D" w:rsidR="002031F4" w:rsidRPr="00A3253C" w:rsidRDefault="002031F4" w:rsidP="002031F4">
            <w:pPr>
              <w:pStyle w:val="TableText"/>
              <w:jc w:val="center"/>
            </w:pPr>
            <w:r w:rsidRPr="00A3253C">
              <w:t>4.75</w:t>
            </w:r>
          </w:p>
        </w:tc>
        <w:tc>
          <w:tcPr>
            <w:tcW w:w="1628" w:type="pct"/>
          </w:tcPr>
          <w:p w14:paraId="1C6B58D9" w14:textId="6FF02D47" w:rsidR="002031F4" w:rsidRPr="00A3253C" w:rsidRDefault="002031F4" w:rsidP="002031F4">
            <w:pPr>
              <w:pStyle w:val="TableText"/>
            </w:pPr>
            <w:r w:rsidRPr="00A3253C">
              <w:rPr>
                <w:rFonts w:cs="Calibri"/>
                <w:szCs w:val="16"/>
              </w:rPr>
              <w:t>Consumer Staples</w:t>
            </w:r>
          </w:p>
        </w:tc>
        <w:tc>
          <w:tcPr>
            <w:tcW w:w="436" w:type="pct"/>
            <w:vAlign w:val="center"/>
          </w:tcPr>
          <w:p w14:paraId="5D3C4B48" w14:textId="537B47BD" w:rsidR="002031F4" w:rsidRPr="00A3253C" w:rsidRDefault="002031F4" w:rsidP="002031F4">
            <w:pPr>
              <w:pStyle w:val="TableText"/>
            </w:pPr>
            <w:r w:rsidRPr="00A3253C">
              <w:rPr>
                <w:rFonts w:ascii="Arial" w:hAnsi="Arial" w:cs="Arial"/>
                <w:szCs w:val="18"/>
              </w:rPr>
              <w:t>-3.57</w:t>
            </w:r>
          </w:p>
        </w:tc>
      </w:tr>
      <w:tr w:rsidR="002031F4" w:rsidRPr="00A3253C" w14:paraId="75F48892"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22B6B68B" w14:textId="39A591B3"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5685AE37" w14:textId="20A17DAC" w:rsidR="002031F4" w:rsidRPr="00A3253C" w:rsidRDefault="002031F4" w:rsidP="002031F4">
            <w:pPr>
              <w:pStyle w:val="TableText"/>
            </w:pPr>
            <w:r w:rsidRPr="00A3253C">
              <w:rPr>
                <w:rFonts w:cs="Calibri"/>
                <w:szCs w:val="16"/>
              </w:rPr>
              <w:t>Energy</w:t>
            </w:r>
          </w:p>
        </w:tc>
        <w:tc>
          <w:tcPr>
            <w:tcW w:w="822" w:type="pct"/>
            <w:vAlign w:val="center"/>
          </w:tcPr>
          <w:p w14:paraId="617944E7" w14:textId="7FE92F8F" w:rsidR="002031F4" w:rsidRPr="00A3253C" w:rsidRDefault="002031F4" w:rsidP="002031F4">
            <w:pPr>
              <w:pStyle w:val="TableText"/>
              <w:jc w:val="center"/>
            </w:pPr>
            <w:r w:rsidRPr="00A3253C">
              <w:t>-0.84</w:t>
            </w:r>
          </w:p>
        </w:tc>
        <w:tc>
          <w:tcPr>
            <w:tcW w:w="1628" w:type="pct"/>
          </w:tcPr>
          <w:p w14:paraId="0455325B" w14:textId="6C05EA43" w:rsidR="002031F4" w:rsidRPr="00A3253C" w:rsidRDefault="002031F4" w:rsidP="002031F4">
            <w:pPr>
              <w:pStyle w:val="TableText"/>
            </w:pPr>
            <w:r w:rsidRPr="00A3253C">
              <w:rPr>
                <w:rFonts w:cs="Calibri"/>
                <w:szCs w:val="16"/>
              </w:rPr>
              <w:t>Energy</w:t>
            </w:r>
          </w:p>
        </w:tc>
        <w:tc>
          <w:tcPr>
            <w:tcW w:w="436" w:type="pct"/>
            <w:vAlign w:val="center"/>
          </w:tcPr>
          <w:p w14:paraId="537977C4" w14:textId="1E3476C7" w:rsidR="002031F4" w:rsidRPr="00A3253C" w:rsidRDefault="002031F4" w:rsidP="002031F4">
            <w:pPr>
              <w:pStyle w:val="TableText"/>
            </w:pPr>
            <w:r w:rsidRPr="00A3253C">
              <w:rPr>
                <w:rFonts w:ascii="Arial" w:hAnsi="Arial" w:cs="Arial"/>
                <w:szCs w:val="18"/>
              </w:rPr>
              <w:t>-9.96</w:t>
            </w:r>
          </w:p>
        </w:tc>
      </w:tr>
      <w:tr w:rsidR="002031F4" w:rsidRPr="00A3253C" w14:paraId="18E7F7A5" w14:textId="77777777" w:rsidTr="00341759">
        <w:trPr>
          <w:trHeight w:val="20"/>
        </w:trPr>
        <w:tc>
          <w:tcPr>
            <w:tcW w:w="506" w:type="pct"/>
            <w:vAlign w:val="center"/>
          </w:tcPr>
          <w:p w14:paraId="4128383C" w14:textId="072BEDDB" w:rsidR="002031F4" w:rsidRPr="00A3253C" w:rsidRDefault="002031F4" w:rsidP="002031F4">
            <w:pPr>
              <w:pStyle w:val="TableText"/>
              <w:jc w:val="center"/>
              <w:rPr>
                <w:rFonts w:cstheme="minorHAnsi"/>
                <w:szCs w:val="18"/>
              </w:rPr>
            </w:pPr>
            <w:r w:rsidRPr="00A3253C">
              <w:rPr>
                <w:rFonts w:cstheme="minorHAnsi"/>
                <w:color w:val="00B050"/>
                <w:szCs w:val="18"/>
              </w:rPr>
              <w:t>▲</w:t>
            </w:r>
          </w:p>
        </w:tc>
        <w:tc>
          <w:tcPr>
            <w:tcW w:w="1608" w:type="pct"/>
          </w:tcPr>
          <w:p w14:paraId="3F021E8D" w14:textId="6E5EFCCF" w:rsidR="002031F4" w:rsidRPr="00A3253C" w:rsidRDefault="002031F4" w:rsidP="002031F4">
            <w:pPr>
              <w:pStyle w:val="TableText"/>
            </w:pPr>
            <w:r w:rsidRPr="00A3253C">
              <w:rPr>
                <w:rFonts w:cs="Calibri"/>
                <w:szCs w:val="16"/>
              </w:rPr>
              <w:t>Financials ex Property</w:t>
            </w:r>
          </w:p>
        </w:tc>
        <w:tc>
          <w:tcPr>
            <w:tcW w:w="822" w:type="pct"/>
            <w:vAlign w:val="center"/>
          </w:tcPr>
          <w:p w14:paraId="4F5AEF5F" w14:textId="3A5DFF28" w:rsidR="002031F4" w:rsidRPr="00A3253C" w:rsidRDefault="002031F4" w:rsidP="002031F4">
            <w:pPr>
              <w:pStyle w:val="TableText"/>
              <w:jc w:val="center"/>
            </w:pPr>
            <w:r w:rsidRPr="00A3253C">
              <w:t>6.27</w:t>
            </w:r>
          </w:p>
        </w:tc>
        <w:tc>
          <w:tcPr>
            <w:tcW w:w="1628" w:type="pct"/>
          </w:tcPr>
          <w:p w14:paraId="6E9DFBC8" w14:textId="39F8F4B7" w:rsidR="002031F4" w:rsidRPr="00A3253C" w:rsidRDefault="002031F4" w:rsidP="002031F4">
            <w:pPr>
              <w:pStyle w:val="TableText"/>
            </w:pPr>
            <w:r w:rsidRPr="00A3253C">
              <w:rPr>
                <w:rFonts w:cs="Calibri"/>
                <w:szCs w:val="16"/>
              </w:rPr>
              <w:t>Financials ex Property</w:t>
            </w:r>
          </w:p>
        </w:tc>
        <w:tc>
          <w:tcPr>
            <w:tcW w:w="436" w:type="pct"/>
            <w:vAlign w:val="center"/>
          </w:tcPr>
          <w:p w14:paraId="3DD1138E" w14:textId="4797B7FE" w:rsidR="002031F4" w:rsidRPr="00A3253C" w:rsidRDefault="002031F4" w:rsidP="002031F4">
            <w:pPr>
              <w:pStyle w:val="TableText"/>
            </w:pPr>
            <w:r w:rsidRPr="00A3253C">
              <w:rPr>
                <w:rFonts w:ascii="Arial" w:hAnsi="Arial" w:cs="Arial"/>
                <w:szCs w:val="18"/>
              </w:rPr>
              <w:t>0.07</w:t>
            </w:r>
          </w:p>
        </w:tc>
      </w:tr>
      <w:tr w:rsidR="002031F4" w:rsidRPr="00A3253C" w14:paraId="2BCD484B"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16142C3E" w14:textId="1CE5C6CD" w:rsidR="002031F4" w:rsidRPr="00A3253C" w:rsidRDefault="002031F4" w:rsidP="002031F4">
            <w:pPr>
              <w:pStyle w:val="TableText"/>
              <w:jc w:val="center"/>
              <w:rPr>
                <w:rFonts w:cstheme="minorHAnsi"/>
                <w:szCs w:val="18"/>
              </w:rPr>
            </w:pPr>
            <w:r w:rsidRPr="00A3253C">
              <w:rPr>
                <w:rFonts w:cstheme="minorHAnsi"/>
                <w:color w:val="00B050"/>
                <w:szCs w:val="18"/>
              </w:rPr>
              <w:t>▲</w:t>
            </w:r>
          </w:p>
        </w:tc>
        <w:tc>
          <w:tcPr>
            <w:tcW w:w="1608" w:type="pct"/>
          </w:tcPr>
          <w:p w14:paraId="1EF1FBF3" w14:textId="4D157C6C" w:rsidR="002031F4" w:rsidRPr="00A3253C" w:rsidRDefault="002031F4" w:rsidP="002031F4">
            <w:pPr>
              <w:pStyle w:val="TableText"/>
            </w:pPr>
            <w:r w:rsidRPr="00A3253C">
              <w:rPr>
                <w:rFonts w:cs="Calibri"/>
                <w:szCs w:val="16"/>
              </w:rPr>
              <w:t>Financials</w:t>
            </w:r>
          </w:p>
        </w:tc>
        <w:tc>
          <w:tcPr>
            <w:tcW w:w="822" w:type="pct"/>
            <w:vAlign w:val="center"/>
          </w:tcPr>
          <w:p w14:paraId="445B604F" w14:textId="357E6F6B" w:rsidR="002031F4" w:rsidRPr="00A3253C" w:rsidRDefault="002031F4" w:rsidP="002031F4">
            <w:pPr>
              <w:pStyle w:val="TableText"/>
              <w:jc w:val="center"/>
            </w:pPr>
            <w:r w:rsidRPr="00A3253C">
              <w:t>6.27</w:t>
            </w:r>
          </w:p>
        </w:tc>
        <w:tc>
          <w:tcPr>
            <w:tcW w:w="1628" w:type="pct"/>
          </w:tcPr>
          <w:p w14:paraId="008A9809" w14:textId="1ED0EB5F" w:rsidR="002031F4" w:rsidRPr="00A3253C" w:rsidRDefault="002031F4" w:rsidP="002031F4">
            <w:pPr>
              <w:pStyle w:val="TableText"/>
            </w:pPr>
            <w:r w:rsidRPr="00A3253C">
              <w:rPr>
                <w:rFonts w:cs="Calibri"/>
                <w:szCs w:val="16"/>
              </w:rPr>
              <w:t>Financials</w:t>
            </w:r>
          </w:p>
        </w:tc>
        <w:tc>
          <w:tcPr>
            <w:tcW w:w="436" w:type="pct"/>
            <w:vAlign w:val="center"/>
          </w:tcPr>
          <w:p w14:paraId="5FF742DF" w14:textId="4F76F953" w:rsidR="002031F4" w:rsidRPr="00A3253C" w:rsidRDefault="002031F4" w:rsidP="002031F4">
            <w:pPr>
              <w:pStyle w:val="TableText"/>
            </w:pPr>
            <w:r w:rsidRPr="00A3253C">
              <w:rPr>
                <w:rFonts w:ascii="Arial" w:hAnsi="Arial" w:cs="Arial"/>
                <w:szCs w:val="18"/>
              </w:rPr>
              <w:t>0.07</w:t>
            </w:r>
          </w:p>
        </w:tc>
      </w:tr>
      <w:tr w:rsidR="002031F4" w:rsidRPr="00A3253C" w14:paraId="6E85DBC1" w14:textId="77777777" w:rsidTr="00341759">
        <w:trPr>
          <w:trHeight w:val="20"/>
        </w:trPr>
        <w:tc>
          <w:tcPr>
            <w:tcW w:w="506" w:type="pct"/>
            <w:vAlign w:val="center"/>
          </w:tcPr>
          <w:p w14:paraId="7D5B3E08" w14:textId="7A416781" w:rsidR="002031F4" w:rsidRPr="00A3253C" w:rsidRDefault="002031F4" w:rsidP="002031F4">
            <w:pPr>
              <w:pStyle w:val="TableText"/>
              <w:jc w:val="center"/>
              <w:rPr>
                <w:rFonts w:cstheme="minorHAnsi"/>
                <w:szCs w:val="18"/>
              </w:rPr>
            </w:pPr>
            <w:r w:rsidRPr="00A3253C">
              <w:rPr>
                <w:rFonts w:cstheme="minorHAnsi"/>
                <w:color w:val="00B050"/>
                <w:szCs w:val="18"/>
              </w:rPr>
              <w:t>▲</w:t>
            </w:r>
          </w:p>
        </w:tc>
        <w:tc>
          <w:tcPr>
            <w:tcW w:w="1608" w:type="pct"/>
          </w:tcPr>
          <w:p w14:paraId="3067C27A" w14:textId="4C531260" w:rsidR="002031F4" w:rsidRPr="00A3253C" w:rsidRDefault="002031F4" w:rsidP="002031F4">
            <w:pPr>
              <w:pStyle w:val="TableText"/>
            </w:pPr>
            <w:r w:rsidRPr="00A3253C">
              <w:rPr>
                <w:rFonts w:cs="Calibri"/>
                <w:szCs w:val="16"/>
              </w:rPr>
              <w:t>Health Care</w:t>
            </w:r>
          </w:p>
        </w:tc>
        <w:tc>
          <w:tcPr>
            <w:tcW w:w="822" w:type="pct"/>
            <w:vAlign w:val="center"/>
          </w:tcPr>
          <w:p w14:paraId="179C88AE" w14:textId="6830AFDD" w:rsidR="002031F4" w:rsidRPr="00A3253C" w:rsidRDefault="002031F4" w:rsidP="002031F4">
            <w:pPr>
              <w:pStyle w:val="TableText"/>
              <w:jc w:val="center"/>
            </w:pPr>
            <w:r w:rsidRPr="00A3253C">
              <w:t>1.17</w:t>
            </w:r>
          </w:p>
        </w:tc>
        <w:tc>
          <w:tcPr>
            <w:tcW w:w="1628" w:type="pct"/>
          </w:tcPr>
          <w:p w14:paraId="6B344430" w14:textId="4FE25BA6" w:rsidR="002031F4" w:rsidRPr="00A3253C" w:rsidRDefault="002031F4" w:rsidP="002031F4">
            <w:pPr>
              <w:pStyle w:val="TableText"/>
            </w:pPr>
            <w:r w:rsidRPr="00A3253C">
              <w:rPr>
                <w:rFonts w:cs="Calibri"/>
                <w:szCs w:val="16"/>
              </w:rPr>
              <w:t>Health Care</w:t>
            </w:r>
          </w:p>
        </w:tc>
        <w:tc>
          <w:tcPr>
            <w:tcW w:w="436" w:type="pct"/>
            <w:vAlign w:val="center"/>
          </w:tcPr>
          <w:p w14:paraId="4F28E27E" w14:textId="3490F24B" w:rsidR="002031F4" w:rsidRPr="00A3253C" w:rsidRDefault="002031F4" w:rsidP="002031F4">
            <w:pPr>
              <w:pStyle w:val="TableText"/>
            </w:pPr>
            <w:r w:rsidRPr="00A3253C">
              <w:rPr>
                <w:rFonts w:ascii="Arial" w:hAnsi="Arial" w:cs="Arial"/>
                <w:szCs w:val="18"/>
              </w:rPr>
              <w:t>5.60</w:t>
            </w:r>
          </w:p>
        </w:tc>
      </w:tr>
      <w:tr w:rsidR="002031F4" w:rsidRPr="00A3253C" w14:paraId="37AB013E"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204C6F1B" w14:textId="62A8B44C"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2F4F192E" w14:textId="29F4D03B" w:rsidR="002031F4" w:rsidRPr="00A3253C" w:rsidRDefault="002031F4" w:rsidP="002031F4">
            <w:pPr>
              <w:pStyle w:val="TableText"/>
            </w:pPr>
            <w:r w:rsidRPr="00A3253C">
              <w:rPr>
                <w:rFonts w:cs="Calibri"/>
                <w:szCs w:val="16"/>
              </w:rPr>
              <w:t>Industrials</w:t>
            </w:r>
          </w:p>
        </w:tc>
        <w:tc>
          <w:tcPr>
            <w:tcW w:w="822" w:type="pct"/>
            <w:vAlign w:val="center"/>
          </w:tcPr>
          <w:p w14:paraId="0885C04C" w14:textId="21511626" w:rsidR="002031F4" w:rsidRPr="00A3253C" w:rsidRDefault="002031F4" w:rsidP="002031F4">
            <w:pPr>
              <w:pStyle w:val="TableText"/>
              <w:jc w:val="center"/>
            </w:pPr>
            <w:r w:rsidRPr="00A3253C">
              <w:t>-3.92</w:t>
            </w:r>
          </w:p>
        </w:tc>
        <w:tc>
          <w:tcPr>
            <w:tcW w:w="1628" w:type="pct"/>
          </w:tcPr>
          <w:p w14:paraId="0E2EDB22" w14:textId="39E2DBBA" w:rsidR="002031F4" w:rsidRPr="00A3253C" w:rsidRDefault="002031F4" w:rsidP="002031F4">
            <w:pPr>
              <w:pStyle w:val="TableText"/>
            </w:pPr>
            <w:r w:rsidRPr="00A3253C">
              <w:rPr>
                <w:rFonts w:cs="Calibri"/>
                <w:szCs w:val="16"/>
              </w:rPr>
              <w:t>Industrials</w:t>
            </w:r>
          </w:p>
        </w:tc>
        <w:tc>
          <w:tcPr>
            <w:tcW w:w="436" w:type="pct"/>
            <w:vAlign w:val="center"/>
          </w:tcPr>
          <w:p w14:paraId="369971AE" w14:textId="5A4B5657" w:rsidR="002031F4" w:rsidRPr="00A3253C" w:rsidRDefault="002031F4" w:rsidP="002031F4">
            <w:pPr>
              <w:pStyle w:val="TableText"/>
            </w:pPr>
            <w:r w:rsidRPr="00A3253C">
              <w:rPr>
                <w:rFonts w:ascii="Arial" w:hAnsi="Arial" w:cs="Arial"/>
                <w:szCs w:val="18"/>
              </w:rPr>
              <w:t>-0.45</w:t>
            </w:r>
          </w:p>
        </w:tc>
      </w:tr>
      <w:tr w:rsidR="002031F4" w:rsidRPr="00A3253C" w14:paraId="733BF236" w14:textId="77777777" w:rsidTr="00341759">
        <w:trPr>
          <w:trHeight w:val="20"/>
        </w:trPr>
        <w:tc>
          <w:tcPr>
            <w:tcW w:w="506" w:type="pct"/>
            <w:vAlign w:val="center"/>
          </w:tcPr>
          <w:p w14:paraId="365B89FB" w14:textId="5D0596EB" w:rsidR="002031F4" w:rsidRPr="00A3253C" w:rsidRDefault="002031F4" w:rsidP="002031F4">
            <w:pPr>
              <w:pStyle w:val="TableText"/>
              <w:jc w:val="center"/>
              <w:rPr>
                <w:rFonts w:cstheme="minorHAnsi"/>
                <w:szCs w:val="18"/>
              </w:rPr>
            </w:pPr>
            <w:r w:rsidRPr="00A3253C">
              <w:rPr>
                <w:rFonts w:cstheme="minorHAnsi"/>
                <w:color w:val="00B050"/>
                <w:szCs w:val="18"/>
              </w:rPr>
              <w:t>▲</w:t>
            </w:r>
          </w:p>
        </w:tc>
        <w:tc>
          <w:tcPr>
            <w:tcW w:w="1608" w:type="pct"/>
          </w:tcPr>
          <w:p w14:paraId="70C92F95" w14:textId="2FE53BBB" w:rsidR="002031F4" w:rsidRPr="00A3253C" w:rsidRDefault="002031F4" w:rsidP="002031F4">
            <w:pPr>
              <w:pStyle w:val="TableText"/>
            </w:pPr>
            <w:r w:rsidRPr="00A3253C">
              <w:rPr>
                <w:rFonts w:cs="Calibri"/>
                <w:szCs w:val="16"/>
              </w:rPr>
              <w:t>IT</w:t>
            </w:r>
          </w:p>
        </w:tc>
        <w:tc>
          <w:tcPr>
            <w:tcW w:w="822" w:type="pct"/>
            <w:vAlign w:val="center"/>
          </w:tcPr>
          <w:p w14:paraId="71335951" w14:textId="1D645F0B" w:rsidR="002031F4" w:rsidRPr="00A3253C" w:rsidRDefault="002031F4" w:rsidP="002031F4">
            <w:pPr>
              <w:pStyle w:val="TableText"/>
              <w:jc w:val="center"/>
            </w:pPr>
            <w:r w:rsidRPr="00A3253C">
              <w:t>8.96</w:t>
            </w:r>
          </w:p>
        </w:tc>
        <w:tc>
          <w:tcPr>
            <w:tcW w:w="1628" w:type="pct"/>
          </w:tcPr>
          <w:p w14:paraId="59F671BC" w14:textId="4F14420A" w:rsidR="002031F4" w:rsidRPr="00A3253C" w:rsidRDefault="002031F4" w:rsidP="002031F4">
            <w:pPr>
              <w:pStyle w:val="TableText"/>
            </w:pPr>
            <w:r w:rsidRPr="00A3253C">
              <w:rPr>
                <w:rFonts w:cs="Calibri"/>
                <w:szCs w:val="16"/>
              </w:rPr>
              <w:t>IT</w:t>
            </w:r>
          </w:p>
        </w:tc>
        <w:tc>
          <w:tcPr>
            <w:tcW w:w="436" w:type="pct"/>
            <w:vAlign w:val="center"/>
          </w:tcPr>
          <w:p w14:paraId="5E761622" w14:textId="78B965A2" w:rsidR="002031F4" w:rsidRPr="00A3253C" w:rsidRDefault="002031F4" w:rsidP="002031F4">
            <w:pPr>
              <w:pStyle w:val="TableText"/>
            </w:pPr>
            <w:r w:rsidRPr="00A3253C">
              <w:rPr>
                <w:rFonts w:ascii="Arial" w:hAnsi="Arial" w:cs="Arial"/>
                <w:szCs w:val="18"/>
              </w:rPr>
              <w:t>16.91</w:t>
            </w:r>
          </w:p>
        </w:tc>
      </w:tr>
      <w:tr w:rsidR="002031F4" w:rsidRPr="00A3253C" w14:paraId="771B6891"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5DC7F5FB" w14:textId="359E6956"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5B347B78" w14:textId="083135AD" w:rsidR="002031F4" w:rsidRPr="00A3253C" w:rsidRDefault="002031F4" w:rsidP="002031F4">
            <w:pPr>
              <w:pStyle w:val="TableText"/>
            </w:pPr>
            <w:r w:rsidRPr="00A3253C">
              <w:rPr>
                <w:rFonts w:cs="Calibri"/>
                <w:szCs w:val="16"/>
              </w:rPr>
              <w:t>Materials</w:t>
            </w:r>
          </w:p>
        </w:tc>
        <w:tc>
          <w:tcPr>
            <w:tcW w:w="822" w:type="pct"/>
            <w:vAlign w:val="center"/>
          </w:tcPr>
          <w:p w14:paraId="077189E8" w14:textId="22AA5B08" w:rsidR="002031F4" w:rsidRPr="00A3253C" w:rsidRDefault="002031F4" w:rsidP="002031F4">
            <w:pPr>
              <w:pStyle w:val="TableText"/>
              <w:jc w:val="center"/>
            </w:pPr>
            <w:r w:rsidRPr="00A3253C">
              <w:t>-1.23</w:t>
            </w:r>
          </w:p>
        </w:tc>
        <w:tc>
          <w:tcPr>
            <w:tcW w:w="1628" w:type="pct"/>
          </w:tcPr>
          <w:p w14:paraId="29C43E8F" w14:textId="573660CF" w:rsidR="002031F4" w:rsidRPr="00A3253C" w:rsidRDefault="002031F4" w:rsidP="002031F4">
            <w:pPr>
              <w:pStyle w:val="TableText"/>
            </w:pPr>
            <w:r w:rsidRPr="00A3253C">
              <w:rPr>
                <w:rFonts w:cs="Calibri"/>
                <w:szCs w:val="16"/>
              </w:rPr>
              <w:t>Materials</w:t>
            </w:r>
          </w:p>
        </w:tc>
        <w:tc>
          <w:tcPr>
            <w:tcW w:w="436" w:type="pct"/>
            <w:vAlign w:val="center"/>
          </w:tcPr>
          <w:p w14:paraId="68A0AD0B" w14:textId="05DD3079" w:rsidR="002031F4" w:rsidRPr="00A3253C" w:rsidRDefault="002031F4" w:rsidP="002031F4">
            <w:pPr>
              <w:pStyle w:val="TableText"/>
            </w:pPr>
            <w:r w:rsidRPr="00A3253C">
              <w:rPr>
                <w:rFonts w:ascii="Arial" w:hAnsi="Arial" w:cs="Arial"/>
                <w:szCs w:val="18"/>
              </w:rPr>
              <w:t>-4.62</w:t>
            </w:r>
          </w:p>
        </w:tc>
      </w:tr>
      <w:tr w:rsidR="002031F4" w:rsidRPr="00A3253C" w14:paraId="1D75CF8C" w14:textId="77777777" w:rsidTr="00341759">
        <w:trPr>
          <w:trHeight w:val="20"/>
        </w:trPr>
        <w:tc>
          <w:tcPr>
            <w:tcW w:w="506" w:type="pct"/>
            <w:vAlign w:val="center"/>
          </w:tcPr>
          <w:p w14:paraId="71878041" w14:textId="276EA78C"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765027EF" w14:textId="62E4DEED" w:rsidR="002031F4" w:rsidRPr="00A3253C" w:rsidRDefault="002031F4" w:rsidP="002031F4">
            <w:pPr>
              <w:pStyle w:val="TableText"/>
            </w:pPr>
            <w:r w:rsidRPr="00A3253C">
              <w:rPr>
                <w:rFonts w:cs="Calibri"/>
                <w:szCs w:val="16"/>
              </w:rPr>
              <w:t>Property Trusts</w:t>
            </w:r>
          </w:p>
        </w:tc>
        <w:tc>
          <w:tcPr>
            <w:tcW w:w="822" w:type="pct"/>
            <w:vAlign w:val="center"/>
          </w:tcPr>
          <w:p w14:paraId="7C18F26F" w14:textId="649DBB58" w:rsidR="002031F4" w:rsidRPr="00A3253C" w:rsidRDefault="002031F4" w:rsidP="002031F4">
            <w:pPr>
              <w:pStyle w:val="TableText"/>
              <w:jc w:val="center"/>
            </w:pPr>
            <w:r w:rsidRPr="00A3253C">
              <w:t>-0.37</w:t>
            </w:r>
          </w:p>
        </w:tc>
        <w:tc>
          <w:tcPr>
            <w:tcW w:w="1628" w:type="pct"/>
          </w:tcPr>
          <w:p w14:paraId="64197AD7" w14:textId="5C2CC39C" w:rsidR="002031F4" w:rsidRPr="00A3253C" w:rsidRDefault="002031F4" w:rsidP="002031F4">
            <w:pPr>
              <w:pStyle w:val="TableText"/>
            </w:pPr>
            <w:r w:rsidRPr="00A3253C">
              <w:rPr>
                <w:rFonts w:cs="Calibri"/>
                <w:szCs w:val="16"/>
              </w:rPr>
              <w:t>Property Trusts</w:t>
            </w:r>
          </w:p>
        </w:tc>
        <w:tc>
          <w:tcPr>
            <w:tcW w:w="436" w:type="pct"/>
            <w:vAlign w:val="center"/>
          </w:tcPr>
          <w:p w14:paraId="408A8750" w14:textId="3F90CA6E" w:rsidR="002031F4" w:rsidRPr="00A3253C" w:rsidRDefault="002031F4" w:rsidP="002031F4">
            <w:pPr>
              <w:pStyle w:val="TableText"/>
            </w:pPr>
            <w:r w:rsidRPr="00A3253C">
              <w:rPr>
                <w:rFonts w:ascii="Arial" w:hAnsi="Arial" w:cs="Arial"/>
                <w:szCs w:val="18"/>
              </w:rPr>
              <w:t>5.60</w:t>
            </w:r>
          </w:p>
        </w:tc>
      </w:tr>
      <w:tr w:rsidR="002031F4" w:rsidRPr="00A3253C" w14:paraId="7A08E1F5" w14:textId="77777777" w:rsidTr="00341759">
        <w:trPr>
          <w:cnfStyle w:val="000000010000" w:firstRow="0" w:lastRow="0" w:firstColumn="0" w:lastColumn="0" w:oddVBand="0" w:evenVBand="0" w:oddHBand="0" w:evenHBand="1" w:firstRowFirstColumn="0" w:firstRowLastColumn="0" w:lastRowFirstColumn="0" w:lastRowLastColumn="0"/>
          <w:trHeight w:val="20"/>
        </w:trPr>
        <w:tc>
          <w:tcPr>
            <w:tcW w:w="506" w:type="pct"/>
            <w:vAlign w:val="center"/>
          </w:tcPr>
          <w:p w14:paraId="4BA7EC46" w14:textId="39022B23"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04201F09" w14:textId="014902F7" w:rsidR="002031F4" w:rsidRPr="00A3253C" w:rsidRDefault="002031F4" w:rsidP="002031F4">
            <w:pPr>
              <w:pStyle w:val="TableText"/>
            </w:pPr>
            <w:r w:rsidRPr="00A3253C">
              <w:rPr>
                <w:rFonts w:cs="Calibri"/>
                <w:szCs w:val="16"/>
              </w:rPr>
              <w:t>Telecommunications</w:t>
            </w:r>
          </w:p>
        </w:tc>
        <w:tc>
          <w:tcPr>
            <w:tcW w:w="822" w:type="pct"/>
            <w:vAlign w:val="center"/>
          </w:tcPr>
          <w:p w14:paraId="5F535B6F" w14:textId="4CA3C36B" w:rsidR="002031F4" w:rsidRPr="00A3253C" w:rsidRDefault="002031F4" w:rsidP="002031F4">
            <w:pPr>
              <w:pStyle w:val="TableText"/>
              <w:jc w:val="center"/>
            </w:pPr>
            <w:r w:rsidRPr="00A3253C">
              <w:t>-0.55</w:t>
            </w:r>
          </w:p>
        </w:tc>
        <w:tc>
          <w:tcPr>
            <w:tcW w:w="1628" w:type="pct"/>
          </w:tcPr>
          <w:p w14:paraId="1BE78FE3" w14:textId="3C590C6B" w:rsidR="002031F4" w:rsidRPr="00A3253C" w:rsidRDefault="002031F4" w:rsidP="002031F4">
            <w:pPr>
              <w:pStyle w:val="TableText"/>
            </w:pPr>
            <w:r w:rsidRPr="00A3253C">
              <w:rPr>
                <w:rFonts w:cs="Calibri"/>
                <w:szCs w:val="16"/>
              </w:rPr>
              <w:t>Telecommunications</w:t>
            </w:r>
          </w:p>
        </w:tc>
        <w:tc>
          <w:tcPr>
            <w:tcW w:w="436" w:type="pct"/>
            <w:vAlign w:val="center"/>
          </w:tcPr>
          <w:p w14:paraId="1D87B3C9" w14:textId="50622640" w:rsidR="002031F4" w:rsidRPr="00A3253C" w:rsidRDefault="002031F4" w:rsidP="002031F4">
            <w:pPr>
              <w:pStyle w:val="TableText"/>
            </w:pPr>
            <w:r w:rsidRPr="00A3253C">
              <w:rPr>
                <w:rFonts w:ascii="Arial" w:hAnsi="Arial" w:cs="Arial"/>
                <w:szCs w:val="18"/>
              </w:rPr>
              <w:t>-7.98</w:t>
            </w:r>
          </w:p>
        </w:tc>
      </w:tr>
      <w:tr w:rsidR="002031F4" w:rsidRPr="00A3253C" w14:paraId="552C1E78" w14:textId="77777777" w:rsidTr="00341759">
        <w:trPr>
          <w:trHeight w:val="20"/>
        </w:trPr>
        <w:tc>
          <w:tcPr>
            <w:tcW w:w="506" w:type="pct"/>
            <w:vAlign w:val="center"/>
          </w:tcPr>
          <w:p w14:paraId="41D18032" w14:textId="0E64BA8B" w:rsidR="002031F4" w:rsidRPr="00A3253C" w:rsidRDefault="002031F4" w:rsidP="002031F4">
            <w:pPr>
              <w:pStyle w:val="TableText"/>
              <w:jc w:val="center"/>
              <w:rPr>
                <w:rFonts w:cstheme="minorHAnsi"/>
                <w:szCs w:val="18"/>
              </w:rPr>
            </w:pPr>
            <w:r w:rsidRPr="00A3253C">
              <w:rPr>
                <w:rFonts w:cstheme="minorHAnsi"/>
                <w:color w:val="FF0000"/>
                <w:szCs w:val="18"/>
              </w:rPr>
              <w:t>▼</w:t>
            </w:r>
          </w:p>
        </w:tc>
        <w:tc>
          <w:tcPr>
            <w:tcW w:w="1608" w:type="pct"/>
          </w:tcPr>
          <w:p w14:paraId="1D2FD250" w14:textId="6903818A" w:rsidR="002031F4" w:rsidRPr="00A3253C" w:rsidRDefault="002031F4" w:rsidP="002031F4">
            <w:pPr>
              <w:pStyle w:val="TableText"/>
            </w:pPr>
            <w:r w:rsidRPr="00A3253C">
              <w:rPr>
                <w:rFonts w:cs="Calibri"/>
                <w:szCs w:val="16"/>
              </w:rPr>
              <w:t>Utilities</w:t>
            </w:r>
          </w:p>
        </w:tc>
        <w:tc>
          <w:tcPr>
            <w:tcW w:w="822" w:type="pct"/>
            <w:vAlign w:val="center"/>
          </w:tcPr>
          <w:p w14:paraId="4EA3F9DD" w14:textId="4E2213C6" w:rsidR="002031F4" w:rsidRPr="00A3253C" w:rsidRDefault="002031F4" w:rsidP="002031F4">
            <w:pPr>
              <w:pStyle w:val="TableText"/>
              <w:jc w:val="center"/>
            </w:pPr>
            <w:r w:rsidRPr="00A3253C">
              <w:t>-1.49</w:t>
            </w:r>
          </w:p>
        </w:tc>
        <w:tc>
          <w:tcPr>
            <w:tcW w:w="1628" w:type="pct"/>
          </w:tcPr>
          <w:p w14:paraId="03B572F9" w14:textId="3F3E290E" w:rsidR="002031F4" w:rsidRPr="00A3253C" w:rsidRDefault="002031F4" w:rsidP="002031F4">
            <w:pPr>
              <w:pStyle w:val="TableText"/>
            </w:pPr>
            <w:r w:rsidRPr="00A3253C">
              <w:rPr>
                <w:rFonts w:cs="Calibri"/>
                <w:szCs w:val="16"/>
              </w:rPr>
              <w:t>Utilities</w:t>
            </w:r>
          </w:p>
        </w:tc>
        <w:tc>
          <w:tcPr>
            <w:tcW w:w="436" w:type="pct"/>
            <w:vAlign w:val="center"/>
          </w:tcPr>
          <w:p w14:paraId="63086C35" w14:textId="36E9C6B2" w:rsidR="002031F4" w:rsidRPr="00A3253C" w:rsidRDefault="002031F4" w:rsidP="002031F4">
            <w:pPr>
              <w:pStyle w:val="TableText"/>
            </w:pPr>
            <w:r w:rsidRPr="00A3253C">
              <w:rPr>
                <w:rFonts w:ascii="Arial" w:hAnsi="Arial" w:cs="Arial"/>
                <w:szCs w:val="18"/>
              </w:rPr>
              <w:t>-10.70</w:t>
            </w:r>
          </w:p>
        </w:tc>
      </w:tr>
    </w:tbl>
    <w:p w14:paraId="1CCA9449" w14:textId="77777777" w:rsidR="001E77C4" w:rsidRPr="00A3253C" w:rsidRDefault="001E77C4" w:rsidP="001E77C4">
      <w:pPr>
        <w:pStyle w:val="Disclaimer"/>
      </w:pPr>
      <w:r w:rsidRPr="00A3253C">
        <w:t>Source: Bloomberg, IOOF</w:t>
      </w:r>
    </w:p>
    <w:tbl>
      <w:tblPr>
        <w:tblStyle w:val="TableIOOF"/>
        <w:tblW w:w="4377" w:type="pct"/>
        <w:tblLayout w:type="fixed"/>
        <w:tblLook w:val="04A0" w:firstRow="1" w:lastRow="0" w:firstColumn="1" w:lastColumn="0" w:noHBand="0" w:noVBand="1"/>
      </w:tblPr>
      <w:tblGrid>
        <w:gridCol w:w="3148"/>
        <w:gridCol w:w="1278"/>
        <w:gridCol w:w="3226"/>
        <w:gridCol w:w="1275"/>
      </w:tblGrid>
      <w:tr w:rsidR="001E77C4" w:rsidRPr="00A3253C" w14:paraId="7AC08A4A" w14:textId="77777777" w:rsidTr="0023729C">
        <w:trPr>
          <w:cnfStyle w:val="100000000000" w:firstRow="1" w:lastRow="0" w:firstColumn="0" w:lastColumn="0" w:oddVBand="0" w:evenVBand="0" w:oddHBand="0" w:evenHBand="0" w:firstRowFirstColumn="0" w:firstRowLastColumn="0" w:lastRowFirstColumn="0" w:lastRowLastColumn="0"/>
          <w:trHeight w:val="260"/>
        </w:trPr>
        <w:tc>
          <w:tcPr>
            <w:tcW w:w="5000" w:type="pct"/>
            <w:gridSpan w:val="4"/>
            <w:shd w:val="solid" w:color="3C3E42" w:themeColor="accent1" w:fill="000000"/>
          </w:tcPr>
          <w:p w14:paraId="66CDA85B" w14:textId="3868E9B7" w:rsidR="001E77C4" w:rsidRPr="00A3253C" w:rsidRDefault="001E77C4" w:rsidP="0023729C">
            <w:pPr>
              <w:pStyle w:val="TableHeading"/>
              <w:jc w:val="center"/>
              <w:rPr>
                <w:color w:val="FFFFFF" w:themeColor="background1"/>
              </w:rPr>
            </w:pPr>
            <w:r w:rsidRPr="00A3253C">
              <w:t>Best and Worst S&amp;P/ASX 200 Performers</w:t>
            </w:r>
          </w:p>
        </w:tc>
      </w:tr>
      <w:tr w:rsidR="001E77C4" w:rsidRPr="00A3253C" w14:paraId="1A5594BC" w14:textId="77777777" w:rsidTr="0023729C">
        <w:trPr>
          <w:trHeight w:val="260"/>
        </w:trPr>
        <w:tc>
          <w:tcPr>
            <w:tcW w:w="2479" w:type="pct"/>
            <w:gridSpan w:val="2"/>
            <w:shd w:val="solid" w:color="83B827" w:themeColor="accent5" w:fill="F5F5F6" w:themeFill="background2"/>
          </w:tcPr>
          <w:p w14:paraId="38973866" w14:textId="63BE3971" w:rsidR="001E77C4" w:rsidRPr="00A3253C" w:rsidRDefault="001E77C4" w:rsidP="0023729C">
            <w:pPr>
              <w:pStyle w:val="TableHeading"/>
              <w:jc w:val="center"/>
              <w:rPr>
                <w:color w:val="FFFFFF" w:themeColor="background1"/>
              </w:rPr>
            </w:pPr>
            <w:r w:rsidRPr="00A3253C">
              <w:t>Top five stocks</w:t>
            </w:r>
          </w:p>
        </w:tc>
        <w:tc>
          <w:tcPr>
            <w:tcW w:w="2521" w:type="pct"/>
            <w:gridSpan w:val="2"/>
            <w:shd w:val="solid" w:color="83B827" w:themeColor="accent5" w:fill="F5F5F6" w:themeFill="background2"/>
          </w:tcPr>
          <w:p w14:paraId="7AC60909" w14:textId="7DC4A236" w:rsidR="001E77C4" w:rsidRPr="00A3253C" w:rsidRDefault="001E77C4" w:rsidP="0023729C">
            <w:pPr>
              <w:pStyle w:val="TableHeading"/>
              <w:jc w:val="center"/>
              <w:rPr>
                <w:color w:val="FFFFFF" w:themeColor="background1"/>
              </w:rPr>
            </w:pPr>
            <w:r w:rsidRPr="00A3253C">
              <w:rPr>
                <w:color w:val="FFFFFF" w:themeColor="background1"/>
              </w:rPr>
              <w:t>Bottom five stocks</w:t>
            </w:r>
          </w:p>
        </w:tc>
      </w:tr>
      <w:tr w:rsidR="001E77C4" w:rsidRPr="00A3253C" w14:paraId="57AB80E3" w14:textId="77777777" w:rsidTr="0023729C">
        <w:trPr>
          <w:cnfStyle w:val="000000010000" w:firstRow="0" w:lastRow="0" w:firstColumn="0" w:lastColumn="0" w:oddVBand="0" w:evenVBand="0" w:oddHBand="0" w:evenHBand="1" w:firstRowFirstColumn="0" w:firstRowLastColumn="0" w:lastRowFirstColumn="0" w:lastRowLastColumn="0"/>
          <w:trHeight w:val="260"/>
        </w:trPr>
        <w:tc>
          <w:tcPr>
            <w:tcW w:w="5000" w:type="pct"/>
            <w:gridSpan w:val="4"/>
          </w:tcPr>
          <w:p w14:paraId="50F1648E" w14:textId="18DFA203" w:rsidR="001E77C4" w:rsidRPr="00A3253C" w:rsidRDefault="001E77C4" w:rsidP="0023729C">
            <w:pPr>
              <w:pStyle w:val="TableTextBold"/>
              <w:jc w:val="center"/>
            </w:pPr>
            <w:r w:rsidRPr="00A3253C">
              <w:t>Monthly</w:t>
            </w:r>
          </w:p>
        </w:tc>
      </w:tr>
      <w:tr w:rsidR="002031F4" w:rsidRPr="00A3253C" w14:paraId="7801E785" w14:textId="77777777" w:rsidTr="002031F4">
        <w:trPr>
          <w:trHeight w:val="260"/>
        </w:trPr>
        <w:tc>
          <w:tcPr>
            <w:tcW w:w="1763" w:type="pct"/>
            <w:vAlign w:val="bottom"/>
          </w:tcPr>
          <w:p w14:paraId="668D81BA" w14:textId="03E5ABF3" w:rsidR="002031F4" w:rsidRPr="00A3253C" w:rsidRDefault="002031F4" w:rsidP="002031F4">
            <w:pPr>
              <w:pStyle w:val="TableText"/>
            </w:pPr>
            <w:r w:rsidRPr="00A3253C">
              <w:rPr>
                <w:rFonts w:ascii="Arial" w:hAnsi="Arial" w:cs="Arial"/>
                <w:szCs w:val="18"/>
              </w:rPr>
              <w:t>Coca-Cola Amatil Ltd</w:t>
            </w:r>
          </w:p>
        </w:tc>
        <w:tc>
          <w:tcPr>
            <w:tcW w:w="716" w:type="pct"/>
            <w:vAlign w:val="bottom"/>
          </w:tcPr>
          <w:p w14:paraId="5DB69DC0" w14:textId="7A126795" w:rsidR="002031F4" w:rsidRPr="00A3253C" w:rsidRDefault="002031F4" w:rsidP="002031F4">
            <w:pPr>
              <w:pStyle w:val="TableText"/>
              <w:jc w:val="center"/>
            </w:pPr>
            <w:r w:rsidRPr="00A3253C">
              <w:rPr>
                <w:rFonts w:ascii="Arial" w:hAnsi="Arial" w:cs="Arial"/>
                <w:szCs w:val="18"/>
              </w:rPr>
              <w:t>+30.8%</w:t>
            </w:r>
          </w:p>
        </w:tc>
        <w:tc>
          <w:tcPr>
            <w:tcW w:w="1807" w:type="pct"/>
            <w:vAlign w:val="bottom"/>
          </w:tcPr>
          <w:p w14:paraId="41CEBF25" w14:textId="7DD386F7" w:rsidR="002031F4" w:rsidRPr="00A3253C" w:rsidRDefault="002031F4" w:rsidP="002031F4">
            <w:pPr>
              <w:pStyle w:val="TableText"/>
            </w:pPr>
            <w:r w:rsidRPr="00A3253C">
              <w:rPr>
                <w:rFonts w:ascii="Arial" w:hAnsi="Arial" w:cs="Arial"/>
                <w:szCs w:val="18"/>
              </w:rPr>
              <w:t>Mesoblast Ltd</w:t>
            </w:r>
          </w:p>
        </w:tc>
        <w:tc>
          <w:tcPr>
            <w:tcW w:w="714" w:type="pct"/>
            <w:vAlign w:val="bottom"/>
          </w:tcPr>
          <w:p w14:paraId="3387B39A" w14:textId="54913505" w:rsidR="002031F4" w:rsidRPr="00A3253C" w:rsidRDefault="002031F4" w:rsidP="002031F4">
            <w:pPr>
              <w:pStyle w:val="TableText"/>
              <w:jc w:val="center"/>
            </w:pPr>
            <w:r w:rsidRPr="00A3253C">
              <w:rPr>
                <w:rFonts w:ascii="Arial" w:hAnsi="Arial" w:cs="Arial"/>
                <w:szCs w:val="18"/>
              </w:rPr>
              <w:t>-39.8%</w:t>
            </w:r>
          </w:p>
        </w:tc>
      </w:tr>
      <w:tr w:rsidR="002031F4" w:rsidRPr="00A3253C" w14:paraId="43E88C1B" w14:textId="77777777" w:rsidTr="002031F4">
        <w:trPr>
          <w:cnfStyle w:val="000000010000" w:firstRow="0" w:lastRow="0" w:firstColumn="0" w:lastColumn="0" w:oddVBand="0" w:evenVBand="0" w:oddHBand="0" w:evenHBand="1" w:firstRowFirstColumn="0" w:firstRowLastColumn="0" w:lastRowFirstColumn="0" w:lastRowLastColumn="0"/>
          <w:trHeight w:val="260"/>
        </w:trPr>
        <w:tc>
          <w:tcPr>
            <w:tcW w:w="1763" w:type="pct"/>
            <w:vAlign w:val="bottom"/>
          </w:tcPr>
          <w:p w14:paraId="515DED1E" w14:textId="1B37B674" w:rsidR="002031F4" w:rsidRPr="00A3253C" w:rsidRDefault="002031F4" w:rsidP="002031F4">
            <w:pPr>
              <w:pStyle w:val="TableText"/>
            </w:pPr>
            <w:r w:rsidRPr="00A3253C">
              <w:rPr>
                <w:rFonts w:ascii="Arial" w:hAnsi="Arial" w:cs="Arial"/>
                <w:szCs w:val="18"/>
              </w:rPr>
              <w:t>Link Administration Holdings</w:t>
            </w:r>
          </w:p>
        </w:tc>
        <w:tc>
          <w:tcPr>
            <w:tcW w:w="716" w:type="pct"/>
            <w:vAlign w:val="bottom"/>
          </w:tcPr>
          <w:p w14:paraId="1B5E7796" w14:textId="37575A0B" w:rsidR="002031F4" w:rsidRPr="00A3253C" w:rsidRDefault="002031F4" w:rsidP="002031F4">
            <w:pPr>
              <w:pStyle w:val="TableText"/>
              <w:jc w:val="center"/>
            </w:pPr>
            <w:r w:rsidRPr="00A3253C">
              <w:rPr>
                <w:rFonts w:ascii="Arial" w:hAnsi="Arial" w:cs="Arial"/>
                <w:szCs w:val="18"/>
              </w:rPr>
              <w:t>+27.9%</w:t>
            </w:r>
          </w:p>
        </w:tc>
        <w:tc>
          <w:tcPr>
            <w:tcW w:w="1807" w:type="pct"/>
            <w:vAlign w:val="bottom"/>
          </w:tcPr>
          <w:p w14:paraId="121E673F" w14:textId="290A460C" w:rsidR="002031F4" w:rsidRPr="00A3253C" w:rsidRDefault="002031F4" w:rsidP="002031F4">
            <w:pPr>
              <w:pStyle w:val="TableText"/>
            </w:pPr>
            <w:r w:rsidRPr="00A3253C">
              <w:rPr>
                <w:rFonts w:ascii="Arial" w:hAnsi="Arial" w:cs="Arial"/>
                <w:szCs w:val="18"/>
              </w:rPr>
              <w:t>Flight Centre Travel Group Ltd</w:t>
            </w:r>
          </w:p>
        </w:tc>
        <w:tc>
          <w:tcPr>
            <w:tcW w:w="714" w:type="pct"/>
            <w:vAlign w:val="bottom"/>
          </w:tcPr>
          <w:p w14:paraId="336BA6BE" w14:textId="26F11494" w:rsidR="002031F4" w:rsidRPr="00A3253C" w:rsidRDefault="002031F4" w:rsidP="002031F4">
            <w:pPr>
              <w:pStyle w:val="TableText"/>
              <w:jc w:val="center"/>
            </w:pPr>
            <w:r w:rsidRPr="00A3253C">
              <w:rPr>
                <w:rFonts w:ascii="Arial" w:hAnsi="Arial" w:cs="Arial"/>
                <w:szCs w:val="18"/>
              </w:rPr>
              <w:t>-18.2%</w:t>
            </w:r>
          </w:p>
        </w:tc>
      </w:tr>
      <w:tr w:rsidR="002031F4" w:rsidRPr="00A3253C" w14:paraId="519B630B" w14:textId="77777777" w:rsidTr="002031F4">
        <w:trPr>
          <w:trHeight w:val="260"/>
        </w:trPr>
        <w:tc>
          <w:tcPr>
            <w:tcW w:w="1763" w:type="pct"/>
            <w:vAlign w:val="bottom"/>
          </w:tcPr>
          <w:p w14:paraId="69F06FAD" w14:textId="4DC5A7B9" w:rsidR="002031F4" w:rsidRPr="00A3253C" w:rsidRDefault="002031F4" w:rsidP="002031F4">
            <w:pPr>
              <w:pStyle w:val="TableText"/>
            </w:pPr>
            <w:r w:rsidRPr="00A3253C">
              <w:rPr>
                <w:rFonts w:ascii="Arial" w:hAnsi="Arial" w:cs="Arial"/>
                <w:szCs w:val="18"/>
              </w:rPr>
              <w:t xml:space="preserve">Virgin Money UK Plc </w:t>
            </w:r>
            <w:r w:rsidR="00341759" w:rsidRPr="00A3253C">
              <w:rPr>
                <w:rFonts w:ascii="Arial" w:hAnsi="Arial" w:cs="Arial"/>
                <w:szCs w:val="18"/>
              </w:rPr>
              <w:t>–</w:t>
            </w:r>
            <w:r w:rsidRPr="00A3253C">
              <w:rPr>
                <w:rFonts w:ascii="Arial" w:hAnsi="Arial" w:cs="Arial"/>
                <w:szCs w:val="18"/>
              </w:rPr>
              <w:t xml:space="preserve"> CDI</w:t>
            </w:r>
          </w:p>
        </w:tc>
        <w:tc>
          <w:tcPr>
            <w:tcW w:w="716" w:type="pct"/>
            <w:vAlign w:val="bottom"/>
          </w:tcPr>
          <w:p w14:paraId="47F93FC0" w14:textId="3D63A10A" w:rsidR="002031F4" w:rsidRPr="00A3253C" w:rsidRDefault="002031F4" w:rsidP="002031F4">
            <w:pPr>
              <w:pStyle w:val="TableText"/>
              <w:jc w:val="center"/>
            </w:pPr>
            <w:r w:rsidRPr="00A3253C">
              <w:rPr>
                <w:rFonts w:ascii="Arial" w:hAnsi="Arial" w:cs="Arial"/>
                <w:szCs w:val="18"/>
              </w:rPr>
              <w:t>+26.6%</w:t>
            </w:r>
          </w:p>
        </w:tc>
        <w:tc>
          <w:tcPr>
            <w:tcW w:w="1807" w:type="pct"/>
            <w:vAlign w:val="bottom"/>
          </w:tcPr>
          <w:p w14:paraId="400F84EA" w14:textId="6E31EDB1" w:rsidR="002031F4" w:rsidRPr="00A3253C" w:rsidRDefault="002031F4" w:rsidP="002031F4">
            <w:pPr>
              <w:pStyle w:val="TableText"/>
            </w:pPr>
            <w:r w:rsidRPr="00A3253C">
              <w:rPr>
                <w:rFonts w:ascii="Arial" w:hAnsi="Arial" w:cs="Arial"/>
                <w:szCs w:val="18"/>
              </w:rPr>
              <w:t>Austal Ltd</w:t>
            </w:r>
          </w:p>
        </w:tc>
        <w:tc>
          <w:tcPr>
            <w:tcW w:w="714" w:type="pct"/>
            <w:vAlign w:val="bottom"/>
          </w:tcPr>
          <w:p w14:paraId="2E6AC885" w14:textId="0683F7F8" w:rsidR="002031F4" w:rsidRPr="00A3253C" w:rsidRDefault="002031F4" w:rsidP="002031F4">
            <w:pPr>
              <w:pStyle w:val="TableText"/>
              <w:jc w:val="center"/>
            </w:pPr>
            <w:r w:rsidRPr="00A3253C">
              <w:rPr>
                <w:rFonts w:ascii="Arial" w:hAnsi="Arial" w:cs="Arial"/>
                <w:szCs w:val="18"/>
              </w:rPr>
              <w:t>-17.4%</w:t>
            </w:r>
          </w:p>
        </w:tc>
      </w:tr>
      <w:tr w:rsidR="002031F4" w:rsidRPr="00A3253C" w14:paraId="70BA211F" w14:textId="77777777" w:rsidTr="002031F4">
        <w:trPr>
          <w:cnfStyle w:val="000000010000" w:firstRow="0" w:lastRow="0" w:firstColumn="0" w:lastColumn="0" w:oddVBand="0" w:evenVBand="0" w:oddHBand="0" w:evenHBand="1" w:firstRowFirstColumn="0" w:firstRowLastColumn="0" w:lastRowFirstColumn="0" w:lastRowLastColumn="0"/>
          <w:trHeight w:val="260"/>
        </w:trPr>
        <w:tc>
          <w:tcPr>
            <w:tcW w:w="1763" w:type="pct"/>
            <w:vAlign w:val="bottom"/>
          </w:tcPr>
          <w:p w14:paraId="3E62C16A" w14:textId="3473A854" w:rsidR="002031F4" w:rsidRPr="00A3253C" w:rsidRDefault="002031F4" w:rsidP="002031F4">
            <w:pPr>
              <w:pStyle w:val="TableText"/>
            </w:pPr>
            <w:r w:rsidRPr="00A3253C">
              <w:rPr>
                <w:rFonts w:ascii="Arial" w:hAnsi="Arial" w:cs="Arial"/>
                <w:szCs w:val="18"/>
              </w:rPr>
              <w:t>Challenger Ltd</w:t>
            </w:r>
          </w:p>
        </w:tc>
        <w:tc>
          <w:tcPr>
            <w:tcW w:w="716" w:type="pct"/>
            <w:vAlign w:val="bottom"/>
          </w:tcPr>
          <w:p w14:paraId="6DA2D8E5" w14:textId="21708805" w:rsidR="002031F4" w:rsidRPr="00A3253C" w:rsidRDefault="002031F4" w:rsidP="002031F4">
            <w:pPr>
              <w:pStyle w:val="TableText"/>
              <w:jc w:val="center"/>
            </w:pPr>
            <w:r w:rsidRPr="00A3253C">
              <w:rPr>
                <w:rFonts w:ascii="Arial" w:hAnsi="Arial" w:cs="Arial"/>
                <w:szCs w:val="18"/>
              </w:rPr>
              <w:t>+25.6%</w:t>
            </w:r>
          </w:p>
        </w:tc>
        <w:tc>
          <w:tcPr>
            <w:tcW w:w="1807" w:type="pct"/>
            <w:vAlign w:val="bottom"/>
          </w:tcPr>
          <w:p w14:paraId="1B67BDC8" w14:textId="3F929298" w:rsidR="002031F4" w:rsidRPr="00A3253C" w:rsidRDefault="002031F4" w:rsidP="002031F4">
            <w:pPr>
              <w:pStyle w:val="TableText"/>
            </w:pPr>
            <w:r w:rsidRPr="00A3253C">
              <w:rPr>
                <w:rFonts w:ascii="Arial" w:hAnsi="Arial" w:cs="Arial"/>
                <w:szCs w:val="18"/>
              </w:rPr>
              <w:t>Regis Resources Ltd</w:t>
            </w:r>
          </w:p>
        </w:tc>
        <w:tc>
          <w:tcPr>
            <w:tcW w:w="714" w:type="pct"/>
            <w:vAlign w:val="bottom"/>
          </w:tcPr>
          <w:p w14:paraId="75E86D68" w14:textId="4ECAEFDD" w:rsidR="002031F4" w:rsidRPr="00A3253C" w:rsidRDefault="002031F4" w:rsidP="002031F4">
            <w:pPr>
              <w:pStyle w:val="TableText"/>
              <w:jc w:val="center"/>
            </w:pPr>
            <w:r w:rsidRPr="00A3253C">
              <w:rPr>
                <w:rFonts w:ascii="Arial" w:hAnsi="Arial" w:cs="Arial"/>
                <w:szCs w:val="18"/>
              </w:rPr>
              <w:t>-17.2%</w:t>
            </w:r>
          </w:p>
        </w:tc>
      </w:tr>
      <w:tr w:rsidR="002031F4" w:rsidRPr="00A3253C" w14:paraId="5288F677" w14:textId="77777777" w:rsidTr="002031F4">
        <w:trPr>
          <w:trHeight w:val="260"/>
        </w:trPr>
        <w:tc>
          <w:tcPr>
            <w:tcW w:w="1763" w:type="pct"/>
            <w:vAlign w:val="bottom"/>
          </w:tcPr>
          <w:p w14:paraId="15DAB6C8" w14:textId="4D0FEB4C" w:rsidR="002031F4" w:rsidRPr="00A3253C" w:rsidRDefault="002031F4" w:rsidP="002031F4">
            <w:pPr>
              <w:pStyle w:val="TableText"/>
            </w:pPr>
            <w:r w:rsidRPr="00A3253C">
              <w:rPr>
                <w:rFonts w:ascii="Arial" w:hAnsi="Arial" w:cs="Arial"/>
                <w:szCs w:val="18"/>
              </w:rPr>
              <w:t>Sims Ltd</w:t>
            </w:r>
          </w:p>
        </w:tc>
        <w:tc>
          <w:tcPr>
            <w:tcW w:w="716" w:type="pct"/>
            <w:vAlign w:val="bottom"/>
          </w:tcPr>
          <w:p w14:paraId="02A2C4AB" w14:textId="258DDBB5" w:rsidR="002031F4" w:rsidRPr="00A3253C" w:rsidRDefault="002031F4" w:rsidP="002031F4">
            <w:pPr>
              <w:pStyle w:val="TableText"/>
              <w:jc w:val="center"/>
            </w:pPr>
            <w:r w:rsidRPr="00A3253C">
              <w:rPr>
                <w:rFonts w:ascii="Arial" w:hAnsi="Arial" w:cs="Arial"/>
                <w:szCs w:val="18"/>
              </w:rPr>
              <w:t>+25.5%</w:t>
            </w:r>
          </w:p>
        </w:tc>
        <w:tc>
          <w:tcPr>
            <w:tcW w:w="1807" w:type="pct"/>
            <w:vAlign w:val="bottom"/>
          </w:tcPr>
          <w:p w14:paraId="395F7577" w14:textId="7F8D307B" w:rsidR="002031F4" w:rsidRPr="00A3253C" w:rsidRDefault="002031F4" w:rsidP="002031F4">
            <w:pPr>
              <w:pStyle w:val="TableText"/>
            </w:pPr>
            <w:r w:rsidRPr="00A3253C">
              <w:rPr>
                <w:rFonts w:ascii="Arial" w:hAnsi="Arial" w:cs="Arial"/>
                <w:szCs w:val="18"/>
              </w:rPr>
              <w:t>Megaport Ltd</w:t>
            </w:r>
          </w:p>
        </w:tc>
        <w:tc>
          <w:tcPr>
            <w:tcW w:w="714" w:type="pct"/>
            <w:vAlign w:val="bottom"/>
          </w:tcPr>
          <w:p w14:paraId="1E2A298E" w14:textId="4F755C06" w:rsidR="002031F4" w:rsidRPr="00A3253C" w:rsidRDefault="002031F4" w:rsidP="002031F4">
            <w:pPr>
              <w:pStyle w:val="TableText"/>
              <w:jc w:val="center"/>
            </w:pPr>
            <w:r w:rsidRPr="00A3253C">
              <w:rPr>
                <w:rFonts w:ascii="Arial" w:hAnsi="Arial" w:cs="Arial"/>
                <w:szCs w:val="18"/>
              </w:rPr>
              <w:t>-16.3%</w:t>
            </w:r>
          </w:p>
        </w:tc>
      </w:tr>
      <w:tr w:rsidR="001E77C4" w:rsidRPr="00A3253C" w14:paraId="4910C1E2" w14:textId="77777777" w:rsidTr="0023729C">
        <w:trPr>
          <w:cnfStyle w:val="000000010000" w:firstRow="0" w:lastRow="0" w:firstColumn="0" w:lastColumn="0" w:oddVBand="0" w:evenVBand="0" w:oddHBand="0" w:evenHBand="1" w:firstRowFirstColumn="0" w:firstRowLastColumn="0" w:lastRowFirstColumn="0" w:lastRowLastColumn="0"/>
          <w:trHeight w:val="260"/>
        </w:trPr>
        <w:tc>
          <w:tcPr>
            <w:tcW w:w="5000" w:type="pct"/>
            <w:gridSpan w:val="4"/>
          </w:tcPr>
          <w:p w14:paraId="34F228B7" w14:textId="07546462" w:rsidR="001E77C4" w:rsidRPr="00A3253C" w:rsidRDefault="001E77C4" w:rsidP="0023729C">
            <w:pPr>
              <w:pStyle w:val="TableTextBold"/>
              <w:jc w:val="center"/>
            </w:pPr>
            <w:r w:rsidRPr="00A3253C">
              <w:t>Quarterly</w:t>
            </w:r>
          </w:p>
        </w:tc>
      </w:tr>
      <w:tr w:rsidR="002031F4" w:rsidRPr="00A3253C" w14:paraId="424FF3A7" w14:textId="77777777" w:rsidTr="00341759">
        <w:trPr>
          <w:trHeight w:val="260"/>
        </w:trPr>
        <w:tc>
          <w:tcPr>
            <w:tcW w:w="1763" w:type="pct"/>
            <w:vAlign w:val="bottom"/>
          </w:tcPr>
          <w:p w14:paraId="6BF9936C" w14:textId="70F4201F"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Corporate Travel Group</w:t>
            </w:r>
          </w:p>
        </w:tc>
        <w:tc>
          <w:tcPr>
            <w:tcW w:w="716" w:type="pct"/>
            <w:vAlign w:val="bottom"/>
          </w:tcPr>
          <w:p w14:paraId="609995B0" w14:textId="5664A53E"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+72.2%</w:t>
            </w:r>
          </w:p>
        </w:tc>
        <w:tc>
          <w:tcPr>
            <w:tcW w:w="1807" w:type="pct"/>
            <w:vAlign w:val="bottom"/>
          </w:tcPr>
          <w:p w14:paraId="7F1059B9" w14:textId="77FE51D8"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Resolute Mining</w:t>
            </w:r>
          </w:p>
        </w:tc>
        <w:tc>
          <w:tcPr>
            <w:tcW w:w="714" w:type="pct"/>
            <w:vAlign w:val="bottom"/>
          </w:tcPr>
          <w:p w14:paraId="314F17C7" w14:textId="1CC2E63C"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-55.5%</w:t>
            </w:r>
          </w:p>
        </w:tc>
      </w:tr>
      <w:tr w:rsidR="002031F4" w:rsidRPr="00A3253C" w14:paraId="77063267" w14:textId="77777777" w:rsidTr="00341759">
        <w:trPr>
          <w:cnfStyle w:val="000000010000" w:firstRow="0" w:lastRow="0" w:firstColumn="0" w:lastColumn="0" w:oddVBand="0" w:evenVBand="0" w:oddHBand="0" w:evenHBand="1" w:firstRowFirstColumn="0" w:firstRowLastColumn="0" w:lastRowFirstColumn="0" w:lastRowLastColumn="0"/>
          <w:trHeight w:val="260"/>
        </w:trPr>
        <w:tc>
          <w:tcPr>
            <w:tcW w:w="1763" w:type="pct"/>
            <w:vAlign w:val="bottom"/>
          </w:tcPr>
          <w:p w14:paraId="78C8B4FE" w14:textId="40B68833"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ARB Corporation</w:t>
            </w:r>
          </w:p>
        </w:tc>
        <w:tc>
          <w:tcPr>
            <w:tcW w:w="716" w:type="pct"/>
            <w:vAlign w:val="bottom"/>
          </w:tcPr>
          <w:p w14:paraId="46D47A8B" w14:textId="070D6969"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+60.3%</w:t>
            </w:r>
          </w:p>
        </w:tc>
        <w:tc>
          <w:tcPr>
            <w:tcW w:w="1807" w:type="pct"/>
            <w:vAlign w:val="bottom"/>
          </w:tcPr>
          <w:p w14:paraId="606E1384" w14:textId="72223EE6"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IOOF Holdings Ltd</w:t>
            </w:r>
          </w:p>
        </w:tc>
        <w:tc>
          <w:tcPr>
            <w:tcW w:w="714" w:type="pct"/>
            <w:vAlign w:val="bottom"/>
          </w:tcPr>
          <w:p w14:paraId="79EF93CE" w14:textId="2CB2591F"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-54.7%</w:t>
            </w:r>
          </w:p>
        </w:tc>
      </w:tr>
      <w:tr w:rsidR="002031F4" w:rsidRPr="00A3253C" w14:paraId="1AC6E954" w14:textId="77777777" w:rsidTr="00341759">
        <w:trPr>
          <w:trHeight w:val="260"/>
        </w:trPr>
        <w:tc>
          <w:tcPr>
            <w:tcW w:w="1763" w:type="pct"/>
            <w:vAlign w:val="bottom"/>
          </w:tcPr>
          <w:p w14:paraId="02DF6D52" w14:textId="4AB4E53D"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Nine Entertainment Co. Holdings Ltd</w:t>
            </w:r>
          </w:p>
        </w:tc>
        <w:tc>
          <w:tcPr>
            <w:tcW w:w="716" w:type="pct"/>
            <w:vAlign w:val="bottom"/>
          </w:tcPr>
          <w:p w14:paraId="50719E6E" w14:textId="3BB52595"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+53.5%</w:t>
            </w:r>
          </w:p>
        </w:tc>
        <w:tc>
          <w:tcPr>
            <w:tcW w:w="1807" w:type="pct"/>
            <w:vAlign w:val="bottom"/>
          </w:tcPr>
          <w:p w14:paraId="31D7D248" w14:textId="6915778C"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Bravura Solutions</w:t>
            </w:r>
          </w:p>
        </w:tc>
        <w:tc>
          <w:tcPr>
            <w:tcW w:w="714" w:type="pct"/>
            <w:vAlign w:val="bottom"/>
          </w:tcPr>
          <w:p w14:paraId="3FAAE95A" w14:textId="2281D677"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-52.7%</w:t>
            </w:r>
          </w:p>
        </w:tc>
      </w:tr>
      <w:tr w:rsidR="002031F4" w:rsidRPr="00A3253C" w14:paraId="6964CCDA" w14:textId="77777777" w:rsidTr="00341759">
        <w:trPr>
          <w:cnfStyle w:val="000000010000" w:firstRow="0" w:lastRow="0" w:firstColumn="0" w:lastColumn="0" w:oddVBand="0" w:evenVBand="0" w:oddHBand="0" w:evenHBand="1" w:firstRowFirstColumn="0" w:firstRowLastColumn="0" w:lastRowFirstColumn="0" w:lastRowLastColumn="0"/>
          <w:trHeight w:val="260"/>
        </w:trPr>
        <w:tc>
          <w:tcPr>
            <w:tcW w:w="1763" w:type="pct"/>
            <w:vAlign w:val="bottom"/>
          </w:tcPr>
          <w:p w14:paraId="6F24AD02" w14:textId="1C91C615"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Reliance Worldwide</w:t>
            </w:r>
          </w:p>
        </w:tc>
        <w:tc>
          <w:tcPr>
            <w:tcW w:w="716" w:type="pct"/>
            <w:vAlign w:val="bottom"/>
          </w:tcPr>
          <w:p w14:paraId="6D0E0C00" w14:textId="11496CE1"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+53.4%</w:t>
            </w:r>
          </w:p>
        </w:tc>
        <w:tc>
          <w:tcPr>
            <w:tcW w:w="1807" w:type="pct"/>
            <w:vAlign w:val="bottom"/>
          </w:tcPr>
          <w:p w14:paraId="4EEF59F4" w14:textId="3DE4903C"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The a2 Milk Company</w:t>
            </w:r>
          </w:p>
        </w:tc>
        <w:tc>
          <w:tcPr>
            <w:tcW w:w="714" w:type="pct"/>
            <w:vAlign w:val="bottom"/>
          </w:tcPr>
          <w:p w14:paraId="4F5ACC84" w14:textId="75593A2E"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-51.7%</w:t>
            </w:r>
          </w:p>
        </w:tc>
      </w:tr>
      <w:tr w:rsidR="002031F4" w:rsidRPr="00A3253C" w14:paraId="3560ACCB" w14:textId="77777777" w:rsidTr="00341759">
        <w:trPr>
          <w:trHeight w:val="260"/>
        </w:trPr>
        <w:tc>
          <w:tcPr>
            <w:tcW w:w="1763" w:type="pct"/>
            <w:vAlign w:val="bottom"/>
          </w:tcPr>
          <w:p w14:paraId="116183A0" w14:textId="2B64E050"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Coca-Cola Amatil</w:t>
            </w:r>
          </w:p>
        </w:tc>
        <w:tc>
          <w:tcPr>
            <w:tcW w:w="716" w:type="pct"/>
            <w:vAlign w:val="bottom"/>
          </w:tcPr>
          <w:p w14:paraId="65033DDC" w14:textId="4B00B675"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+52.0%</w:t>
            </w:r>
          </w:p>
        </w:tc>
        <w:tc>
          <w:tcPr>
            <w:tcW w:w="1807" w:type="pct"/>
            <w:vAlign w:val="bottom"/>
          </w:tcPr>
          <w:p w14:paraId="4868FC42" w14:textId="2B3AC60A" w:rsidR="002031F4" w:rsidRPr="00A3253C" w:rsidRDefault="002031F4" w:rsidP="002031F4">
            <w:pPr>
              <w:pStyle w:val="TableText"/>
              <w:rPr>
                <w:rFonts w:asciiTheme="majorHAnsi" w:hAnsiTheme="majorHAnsi" w:cstheme="majorHAnsi"/>
              </w:rPr>
            </w:pPr>
            <w:r w:rsidRPr="00A3253C">
              <w:rPr>
                <w:rFonts w:asciiTheme="majorHAnsi" w:hAnsiTheme="majorHAnsi" w:cstheme="majorHAnsi"/>
                <w:szCs w:val="18"/>
              </w:rPr>
              <w:t>Gold Road Resources Ltd</w:t>
            </w:r>
          </w:p>
        </w:tc>
        <w:tc>
          <w:tcPr>
            <w:tcW w:w="714" w:type="pct"/>
            <w:vAlign w:val="bottom"/>
          </w:tcPr>
          <w:p w14:paraId="7EA259EC" w14:textId="1DCDD66D" w:rsidR="002031F4" w:rsidRPr="00A3253C" w:rsidRDefault="002031F4" w:rsidP="002031F4">
            <w:pPr>
              <w:pStyle w:val="TableText"/>
              <w:jc w:val="center"/>
              <w:rPr>
                <w:rFonts w:asciiTheme="majorHAnsi" w:hAnsiTheme="majorHAnsi" w:cstheme="majorHAnsi"/>
              </w:rPr>
            </w:pPr>
            <w:r w:rsidRPr="00A3253C">
              <w:rPr>
                <w:rFonts w:asciiTheme="majorHAnsi" w:hAnsiTheme="majorHAnsi" w:cstheme="majorHAnsi"/>
                <w:szCs w:val="18"/>
              </w:rPr>
              <w:t>-48.0%</w:t>
            </w:r>
          </w:p>
        </w:tc>
      </w:tr>
    </w:tbl>
    <w:p w14:paraId="11E67C56" w14:textId="77777777" w:rsidR="0023729C" w:rsidRPr="00A3253C" w:rsidRDefault="0023729C" w:rsidP="0023729C">
      <w:pPr>
        <w:pStyle w:val="Disclaimer"/>
      </w:pPr>
      <w:r w:rsidRPr="00A3253C">
        <w:t>Source: Bloomberg, IOOF</w:t>
      </w:r>
    </w:p>
    <w:p w14:paraId="4B8F6CD6" w14:textId="32F326CC" w:rsidR="00142500" w:rsidRPr="00A3253C" w:rsidRDefault="00522AF1" w:rsidP="00021043">
      <w:pPr>
        <w:pStyle w:val="Heading2"/>
        <w:tabs>
          <w:tab w:val="left" w:pos="6310"/>
        </w:tabs>
        <w:spacing w:before="0"/>
        <w:sectPr w:rsidR="00142500" w:rsidRPr="00A3253C" w:rsidSect="0023729C">
          <w:headerReference w:type="default" r:id="rId16"/>
          <w:footerReference w:type="even" r:id="rId17"/>
          <w:footerReference w:type="default" r:id="rId18"/>
          <w:headerReference w:type="first" r:id="rId19"/>
          <w:type w:val="continuous"/>
          <w:pgSz w:w="11906" w:h="16838" w:code="9"/>
          <w:pgMar w:top="1588" w:right="851" w:bottom="1134" w:left="851" w:header="539" w:footer="510" w:gutter="0"/>
          <w:cols w:space="720"/>
          <w:titlePg/>
          <w:docGrid w:linePitch="360"/>
        </w:sectPr>
      </w:pPr>
      <w:r w:rsidRPr="00A3253C">
        <w:lastRenderedPageBreak/>
        <w:t>Share Markets</w:t>
      </w:r>
      <w:r w:rsidR="00142500" w:rsidRPr="00A3253C">
        <w:t xml:space="preserve">, </w:t>
      </w:r>
      <w:r w:rsidR="00021043" w:rsidRPr="00A3253C">
        <w:t>October</w:t>
      </w:r>
      <w:r w:rsidR="00142500" w:rsidRPr="00A3253C">
        <w:t xml:space="preserve"> 2020</w:t>
      </w:r>
    </w:p>
    <w:tbl>
      <w:tblPr>
        <w:tblStyle w:val="TableIOOF"/>
        <w:tblpPr w:leftFromText="180" w:rightFromText="180" w:vertAnchor="text" w:tblpY="1"/>
        <w:tblW w:w="5000" w:type="pct"/>
        <w:tblLayout w:type="fixed"/>
        <w:tblLook w:val="04A0" w:firstRow="1" w:lastRow="0" w:firstColumn="1" w:lastColumn="0" w:noHBand="0" w:noVBand="1"/>
      </w:tblPr>
      <w:tblGrid>
        <w:gridCol w:w="386"/>
        <w:gridCol w:w="1458"/>
        <w:gridCol w:w="709"/>
        <w:gridCol w:w="685"/>
        <w:gridCol w:w="810"/>
        <w:gridCol w:w="764"/>
      </w:tblGrid>
      <w:tr w:rsidR="00142500" w:rsidRPr="00A3253C" w14:paraId="4309A3A1" w14:textId="77777777" w:rsidTr="002031F4">
        <w:trPr>
          <w:cnfStyle w:val="100000000000" w:firstRow="1" w:lastRow="0" w:firstColumn="0" w:lastColumn="0" w:oddVBand="0" w:evenVBand="0" w:oddHBand="0" w:evenHBand="0" w:firstRowFirstColumn="0" w:firstRowLastColumn="0" w:lastRowFirstColumn="0" w:lastRowLastColumn="0"/>
          <w:trHeight w:val="278"/>
        </w:trPr>
        <w:tc>
          <w:tcPr>
            <w:tcW w:w="1915" w:type="pct"/>
            <w:gridSpan w:val="2"/>
            <w:hideMark/>
          </w:tcPr>
          <w:p w14:paraId="6B5E5CED" w14:textId="2B60BDA3" w:rsidR="00142500" w:rsidRPr="00A3253C" w:rsidRDefault="00142500" w:rsidP="00021043">
            <w:pPr>
              <w:pStyle w:val="TableHeading"/>
              <w:jc w:val="center"/>
              <w:rPr>
                <w:rFonts w:ascii="Verdana" w:hAnsi="Verdana"/>
                <w:sz w:val="16"/>
                <w:szCs w:val="16"/>
              </w:rPr>
            </w:pPr>
            <w:r w:rsidRPr="00A3253C">
              <w:rPr>
                <w:sz w:val="16"/>
                <w:szCs w:val="16"/>
              </w:rPr>
              <w:t>Australian Indices</w:t>
            </w:r>
          </w:p>
        </w:tc>
        <w:tc>
          <w:tcPr>
            <w:tcW w:w="737" w:type="pct"/>
            <w:hideMark/>
          </w:tcPr>
          <w:p w14:paraId="1E1FE583" w14:textId="0B0D3670" w:rsidR="00142500" w:rsidRPr="00A3253C" w:rsidRDefault="00021043" w:rsidP="00021043">
            <w:pPr>
              <w:pStyle w:val="TableHeading"/>
              <w:jc w:val="center"/>
              <w:rPr>
                <w:sz w:val="16"/>
                <w:szCs w:val="16"/>
              </w:rPr>
            </w:pPr>
            <w:r w:rsidRPr="00A3253C">
              <w:rPr>
                <w:sz w:val="16"/>
                <w:szCs w:val="16"/>
              </w:rPr>
              <w:t>Oct</w:t>
            </w:r>
            <w:r w:rsidR="00142500" w:rsidRPr="00A3253C">
              <w:rPr>
                <w:sz w:val="16"/>
                <w:szCs w:val="16"/>
              </w:rPr>
              <w:t>-20 Price</w:t>
            </w:r>
          </w:p>
        </w:tc>
        <w:tc>
          <w:tcPr>
            <w:tcW w:w="712" w:type="pct"/>
            <w:hideMark/>
          </w:tcPr>
          <w:p w14:paraId="48B49E58" w14:textId="77777777" w:rsidR="00142500" w:rsidRPr="00A3253C" w:rsidRDefault="00142500" w:rsidP="00021043">
            <w:pPr>
              <w:pStyle w:val="TableHeading"/>
              <w:jc w:val="center"/>
              <w:rPr>
                <w:sz w:val="16"/>
                <w:szCs w:val="16"/>
              </w:rPr>
            </w:pPr>
            <w:r w:rsidRPr="00A3253C">
              <w:rPr>
                <w:sz w:val="16"/>
                <w:szCs w:val="16"/>
              </w:rPr>
              <w:t>1M return (%)</w:t>
            </w:r>
          </w:p>
        </w:tc>
        <w:tc>
          <w:tcPr>
            <w:tcW w:w="842" w:type="pct"/>
            <w:hideMark/>
          </w:tcPr>
          <w:p w14:paraId="542B61F2" w14:textId="0F19424B" w:rsidR="00142500" w:rsidRPr="00A3253C" w:rsidRDefault="00021043" w:rsidP="00021043">
            <w:pPr>
              <w:pStyle w:val="TableHeading"/>
              <w:jc w:val="center"/>
              <w:rPr>
                <w:sz w:val="16"/>
                <w:szCs w:val="16"/>
              </w:rPr>
            </w:pPr>
            <w:r w:rsidRPr="00A3253C">
              <w:rPr>
                <w:sz w:val="16"/>
                <w:szCs w:val="16"/>
              </w:rPr>
              <w:t>Jul</w:t>
            </w:r>
            <w:r w:rsidR="00142500" w:rsidRPr="00A3253C">
              <w:rPr>
                <w:sz w:val="16"/>
                <w:szCs w:val="16"/>
              </w:rPr>
              <w:t>-20 Price</w:t>
            </w:r>
          </w:p>
        </w:tc>
        <w:tc>
          <w:tcPr>
            <w:tcW w:w="795" w:type="pct"/>
            <w:hideMark/>
          </w:tcPr>
          <w:p w14:paraId="1F5961CC" w14:textId="77777777" w:rsidR="00142500" w:rsidRPr="00A3253C" w:rsidRDefault="00142500" w:rsidP="00021043">
            <w:pPr>
              <w:pStyle w:val="TableHeading"/>
              <w:jc w:val="center"/>
              <w:rPr>
                <w:sz w:val="16"/>
                <w:szCs w:val="16"/>
              </w:rPr>
            </w:pPr>
            <w:r w:rsidRPr="00A3253C">
              <w:rPr>
                <w:sz w:val="16"/>
                <w:szCs w:val="16"/>
              </w:rPr>
              <w:t>3M return (%)</w:t>
            </w:r>
          </w:p>
        </w:tc>
      </w:tr>
      <w:tr w:rsidR="002031F4" w:rsidRPr="00A3253C" w14:paraId="680510F2" w14:textId="77777777" w:rsidTr="002031F4">
        <w:trPr>
          <w:trHeight w:val="263"/>
        </w:trPr>
        <w:tc>
          <w:tcPr>
            <w:tcW w:w="400" w:type="pct"/>
            <w:vAlign w:val="center"/>
            <w:hideMark/>
          </w:tcPr>
          <w:p w14:paraId="63D72D21" w14:textId="0DAB4591" w:rsidR="002031F4" w:rsidRPr="00A3253C" w:rsidRDefault="002031F4" w:rsidP="002031F4">
            <w:pPr>
              <w:pStyle w:val="TableText"/>
              <w:jc w:val="center"/>
              <w:rPr>
                <w:rFonts w:cs="Calibri"/>
                <w:color w:val="00B050"/>
                <w:sz w:val="16"/>
                <w:szCs w:val="16"/>
              </w:rPr>
            </w:pPr>
            <w:r w:rsidRPr="00A3253C">
              <w:rPr>
                <w:rFonts w:ascii="Arial" w:hAnsi="Arial" w:cs="Arial"/>
                <w:color w:val="00B050"/>
                <w:sz w:val="16"/>
                <w:szCs w:val="16"/>
              </w:rPr>
              <w:t>▲</w:t>
            </w:r>
          </w:p>
        </w:tc>
        <w:tc>
          <w:tcPr>
            <w:tcW w:w="1515" w:type="pct"/>
            <w:vAlign w:val="center"/>
            <w:hideMark/>
          </w:tcPr>
          <w:p w14:paraId="50EB3C6E" w14:textId="3B025076" w:rsidR="002031F4" w:rsidRPr="00A3253C" w:rsidRDefault="002031F4" w:rsidP="002031F4">
            <w:pPr>
              <w:pStyle w:val="TableText"/>
              <w:jc w:val="center"/>
              <w:rPr>
                <w:rFonts w:cs="Calibri"/>
                <w:sz w:val="16"/>
                <w:szCs w:val="16"/>
              </w:rPr>
            </w:pPr>
            <w:r w:rsidRPr="00A3253C">
              <w:rPr>
                <w:rFonts w:ascii="Arial" w:hAnsi="Arial" w:cs="Arial"/>
                <w:sz w:val="16"/>
                <w:szCs w:val="16"/>
              </w:rPr>
              <w:t>S&amp;P/ASX 200</w:t>
            </w:r>
          </w:p>
        </w:tc>
        <w:tc>
          <w:tcPr>
            <w:tcW w:w="737" w:type="pct"/>
            <w:vAlign w:val="center"/>
            <w:hideMark/>
          </w:tcPr>
          <w:p w14:paraId="6B7A21F3" w14:textId="3750296D" w:rsidR="002031F4" w:rsidRPr="00A3253C" w:rsidRDefault="002031F4" w:rsidP="002031F4">
            <w:pPr>
              <w:pStyle w:val="TableText"/>
              <w:jc w:val="center"/>
              <w:rPr>
                <w:rFonts w:cs="Calibri"/>
                <w:sz w:val="16"/>
                <w:szCs w:val="16"/>
              </w:rPr>
            </w:pPr>
            <w:r w:rsidRPr="00A3253C">
              <w:rPr>
                <w:rFonts w:ascii="Arial" w:hAnsi="Arial" w:cs="Arial"/>
                <w:sz w:val="16"/>
                <w:szCs w:val="16"/>
              </w:rPr>
              <w:t>5928</w:t>
            </w:r>
          </w:p>
        </w:tc>
        <w:tc>
          <w:tcPr>
            <w:tcW w:w="712" w:type="pct"/>
            <w:vAlign w:val="center"/>
            <w:hideMark/>
          </w:tcPr>
          <w:p w14:paraId="477546E3" w14:textId="7CD59F22" w:rsidR="002031F4" w:rsidRPr="00A3253C" w:rsidRDefault="002031F4" w:rsidP="002031F4">
            <w:pPr>
              <w:pStyle w:val="TableText"/>
              <w:jc w:val="center"/>
              <w:rPr>
                <w:rFonts w:cs="Calibri"/>
                <w:sz w:val="16"/>
                <w:szCs w:val="16"/>
              </w:rPr>
            </w:pPr>
            <w:r w:rsidRPr="00A3253C">
              <w:rPr>
                <w:rFonts w:ascii="Arial" w:hAnsi="Arial" w:cs="Arial"/>
                <w:sz w:val="16"/>
                <w:szCs w:val="16"/>
              </w:rPr>
              <w:t>1.92</w:t>
            </w:r>
          </w:p>
        </w:tc>
        <w:tc>
          <w:tcPr>
            <w:tcW w:w="842" w:type="pct"/>
            <w:vAlign w:val="center"/>
            <w:hideMark/>
          </w:tcPr>
          <w:p w14:paraId="792D439C" w14:textId="794540A5" w:rsidR="002031F4" w:rsidRPr="00A3253C" w:rsidRDefault="002031F4" w:rsidP="002031F4">
            <w:pPr>
              <w:pStyle w:val="TableText"/>
              <w:jc w:val="center"/>
              <w:rPr>
                <w:rFonts w:cs="Calibri"/>
                <w:sz w:val="16"/>
                <w:szCs w:val="16"/>
              </w:rPr>
            </w:pPr>
            <w:r w:rsidRPr="00A3253C">
              <w:rPr>
                <w:rFonts w:ascii="Arial" w:hAnsi="Arial" w:cs="Arial"/>
                <w:sz w:val="16"/>
                <w:szCs w:val="16"/>
              </w:rPr>
              <w:t>5928</w:t>
            </w:r>
          </w:p>
        </w:tc>
        <w:tc>
          <w:tcPr>
            <w:tcW w:w="795" w:type="pct"/>
            <w:vAlign w:val="center"/>
            <w:hideMark/>
          </w:tcPr>
          <w:p w14:paraId="5887AD02" w14:textId="255BF94C" w:rsidR="002031F4" w:rsidRPr="00A3253C" w:rsidRDefault="002031F4" w:rsidP="002031F4">
            <w:pPr>
              <w:pStyle w:val="TableText"/>
              <w:jc w:val="center"/>
              <w:rPr>
                <w:rFonts w:cs="Calibri"/>
                <w:sz w:val="16"/>
                <w:szCs w:val="16"/>
              </w:rPr>
            </w:pPr>
            <w:r w:rsidRPr="00A3253C">
              <w:rPr>
                <w:rFonts w:ascii="Arial" w:hAnsi="Arial" w:cs="Arial"/>
                <w:sz w:val="16"/>
                <w:szCs w:val="16"/>
              </w:rPr>
              <w:t>0.00</w:t>
            </w:r>
          </w:p>
        </w:tc>
      </w:tr>
      <w:tr w:rsidR="002031F4" w:rsidRPr="00A3253C" w14:paraId="74EB9988" w14:textId="77777777" w:rsidTr="002031F4">
        <w:trPr>
          <w:cnfStyle w:val="000000010000" w:firstRow="0" w:lastRow="0" w:firstColumn="0" w:lastColumn="0" w:oddVBand="0" w:evenVBand="0" w:oddHBand="0" w:evenHBand="1" w:firstRowFirstColumn="0" w:firstRowLastColumn="0" w:lastRowFirstColumn="0" w:lastRowLastColumn="0"/>
          <w:trHeight w:val="263"/>
        </w:trPr>
        <w:tc>
          <w:tcPr>
            <w:tcW w:w="400" w:type="pct"/>
            <w:vAlign w:val="center"/>
            <w:hideMark/>
          </w:tcPr>
          <w:p w14:paraId="25681159" w14:textId="0ACCE814" w:rsidR="002031F4" w:rsidRPr="00A3253C" w:rsidRDefault="002031F4" w:rsidP="002031F4">
            <w:pPr>
              <w:pStyle w:val="TableText"/>
              <w:jc w:val="center"/>
              <w:rPr>
                <w:rFonts w:cs="Calibri"/>
                <w:color w:val="00B050"/>
                <w:sz w:val="16"/>
                <w:szCs w:val="16"/>
              </w:rPr>
            </w:pPr>
            <w:r w:rsidRPr="00A3253C">
              <w:rPr>
                <w:rFonts w:ascii="Arial" w:hAnsi="Arial" w:cs="Arial"/>
                <w:color w:val="00B050"/>
                <w:sz w:val="16"/>
                <w:szCs w:val="16"/>
              </w:rPr>
              <w:t>▲</w:t>
            </w:r>
          </w:p>
        </w:tc>
        <w:tc>
          <w:tcPr>
            <w:tcW w:w="1515" w:type="pct"/>
            <w:vAlign w:val="center"/>
            <w:hideMark/>
          </w:tcPr>
          <w:p w14:paraId="246E395B" w14:textId="20A0C39C" w:rsidR="002031F4" w:rsidRPr="00A3253C" w:rsidRDefault="002031F4" w:rsidP="002031F4">
            <w:pPr>
              <w:pStyle w:val="TableText"/>
              <w:jc w:val="center"/>
              <w:rPr>
                <w:rFonts w:cs="Calibri"/>
                <w:sz w:val="16"/>
                <w:szCs w:val="16"/>
              </w:rPr>
            </w:pPr>
            <w:r w:rsidRPr="00A3253C">
              <w:rPr>
                <w:rFonts w:ascii="Arial" w:hAnsi="Arial" w:cs="Arial"/>
                <w:sz w:val="16"/>
                <w:szCs w:val="16"/>
              </w:rPr>
              <w:t>All Ordinaries</w:t>
            </w:r>
          </w:p>
        </w:tc>
        <w:tc>
          <w:tcPr>
            <w:tcW w:w="737" w:type="pct"/>
            <w:vAlign w:val="center"/>
            <w:hideMark/>
          </w:tcPr>
          <w:p w14:paraId="339B307A" w14:textId="1E3058A6" w:rsidR="002031F4" w:rsidRPr="00A3253C" w:rsidRDefault="002031F4" w:rsidP="002031F4">
            <w:pPr>
              <w:pStyle w:val="TableText"/>
              <w:jc w:val="center"/>
              <w:rPr>
                <w:rFonts w:cs="Calibri"/>
                <w:sz w:val="16"/>
                <w:szCs w:val="16"/>
              </w:rPr>
            </w:pPr>
            <w:r w:rsidRPr="00A3253C">
              <w:rPr>
                <w:rFonts w:ascii="Arial" w:hAnsi="Arial" w:cs="Arial"/>
                <w:sz w:val="16"/>
                <w:szCs w:val="16"/>
              </w:rPr>
              <w:t>6133</w:t>
            </w:r>
          </w:p>
        </w:tc>
        <w:tc>
          <w:tcPr>
            <w:tcW w:w="712" w:type="pct"/>
            <w:vAlign w:val="center"/>
            <w:hideMark/>
          </w:tcPr>
          <w:p w14:paraId="639F78AF" w14:textId="1D4D52C1" w:rsidR="002031F4" w:rsidRPr="00A3253C" w:rsidRDefault="002031F4" w:rsidP="002031F4">
            <w:pPr>
              <w:pStyle w:val="TableText"/>
              <w:jc w:val="center"/>
              <w:rPr>
                <w:rFonts w:cs="Calibri"/>
                <w:sz w:val="16"/>
                <w:szCs w:val="16"/>
              </w:rPr>
            </w:pPr>
            <w:r w:rsidRPr="00A3253C">
              <w:rPr>
                <w:rFonts w:ascii="Arial" w:hAnsi="Arial" w:cs="Arial"/>
                <w:sz w:val="16"/>
                <w:szCs w:val="16"/>
              </w:rPr>
              <w:t>2.06</w:t>
            </w:r>
          </w:p>
        </w:tc>
        <w:tc>
          <w:tcPr>
            <w:tcW w:w="842" w:type="pct"/>
            <w:vAlign w:val="center"/>
            <w:hideMark/>
          </w:tcPr>
          <w:p w14:paraId="77E5AC89" w14:textId="6FE16C12" w:rsidR="002031F4" w:rsidRPr="00A3253C" w:rsidRDefault="002031F4" w:rsidP="002031F4">
            <w:pPr>
              <w:pStyle w:val="TableText"/>
              <w:jc w:val="center"/>
              <w:rPr>
                <w:rFonts w:cs="Calibri"/>
                <w:sz w:val="16"/>
                <w:szCs w:val="16"/>
              </w:rPr>
            </w:pPr>
            <w:r w:rsidRPr="00A3253C">
              <w:rPr>
                <w:rFonts w:ascii="Arial" w:hAnsi="Arial" w:cs="Arial"/>
                <w:sz w:val="16"/>
                <w:szCs w:val="16"/>
              </w:rPr>
              <w:t>6058</w:t>
            </w:r>
          </w:p>
        </w:tc>
        <w:tc>
          <w:tcPr>
            <w:tcW w:w="795" w:type="pct"/>
            <w:vAlign w:val="center"/>
            <w:hideMark/>
          </w:tcPr>
          <w:p w14:paraId="4118F13D" w14:textId="1C6787C2" w:rsidR="002031F4" w:rsidRPr="00A3253C" w:rsidRDefault="002031F4" w:rsidP="002031F4">
            <w:pPr>
              <w:pStyle w:val="TableText"/>
              <w:jc w:val="center"/>
              <w:rPr>
                <w:rFonts w:cs="Calibri"/>
                <w:sz w:val="16"/>
                <w:szCs w:val="16"/>
              </w:rPr>
            </w:pPr>
            <w:r w:rsidRPr="00A3253C">
              <w:rPr>
                <w:rFonts w:ascii="Arial" w:hAnsi="Arial" w:cs="Arial"/>
                <w:sz w:val="16"/>
                <w:szCs w:val="16"/>
              </w:rPr>
              <w:t>1.24</w:t>
            </w:r>
          </w:p>
        </w:tc>
      </w:tr>
      <w:tr w:rsidR="002031F4" w:rsidRPr="00A3253C" w14:paraId="03089F91" w14:textId="77777777" w:rsidTr="002031F4">
        <w:trPr>
          <w:trHeight w:val="263"/>
        </w:trPr>
        <w:tc>
          <w:tcPr>
            <w:tcW w:w="400" w:type="pct"/>
            <w:tcBorders>
              <w:bottom w:val="single" w:sz="2" w:space="0" w:color="FFFFFF" w:themeColor="background1"/>
            </w:tcBorders>
            <w:vAlign w:val="center"/>
            <w:hideMark/>
          </w:tcPr>
          <w:p w14:paraId="0D6DF796" w14:textId="2164D441" w:rsidR="002031F4" w:rsidRPr="00A3253C" w:rsidRDefault="002031F4" w:rsidP="002031F4">
            <w:pPr>
              <w:pStyle w:val="TableText"/>
              <w:jc w:val="center"/>
              <w:rPr>
                <w:rFonts w:cs="Calibri"/>
                <w:color w:val="00B050"/>
                <w:sz w:val="16"/>
                <w:szCs w:val="16"/>
              </w:rPr>
            </w:pPr>
            <w:r w:rsidRPr="00A3253C">
              <w:rPr>
                <w:rFonts w:ascii="Arial" w:hAnsi="Arial" w:cs="Arial"/>
                <w:color w:val="00B050"/>
                <w:sz w:val="16"/>
                <w:szCs w:val="16"/>
              </w:rPr>
              <w:t>▲</w:t>
            </w:r>
          </w:p>
        </w:tc>
        <w:tc>
          <w:tcPr>
            <w:tcW w:w="1515" w:type="pct"/>
            <w:tcBorders>
              <w:bottom w:val="single" w:sz="2" w:space="0" w:color="FFFFFF" w:themeColor="background1"/>
            </w:tcBorders>
            <w:vAlign w:val="center"/>
            <w:hideMark/>
          </w:tcPr>
          <w:p w14:paraId="4EBFEEA9" w14:textId="1F1E3D54" w:rsidR="002031F4" w:rsidRPr="00A3253C" w:rsidRDefault="002031F4" w:rsidP="002031F4">
            <w:pPr>
              <w:pStyle w:val="TableText"/>
              <w:jc w:val="center"/>
              <w:rPr>
                <w:rFonts w:cs="Calibri"/>
                <w:sz w:val="16"/>
                <w:szCs w:val="16"/>
              </w:rPr>
            </w:pPr>
            <w:r w:rsidRPr="00A3253C">
              <w:rPr>
                <w:rFonts w:ascii="Arial" w:hAnsi="Arial" w:cs="Arial"/>
                <w:sz w:val="16"/>
                <w:szCs w:val="16"/>
              </w:rPr>
              <w:t>Small Ordinaries</w:t>
            </w:r>
          </w:p>
        </w:tc>
        <w:tc>
          <w:tcPr>
            <w:tcW w:w="737" w:type="pct"/>
            <w:tcBorders>
              <w:bottom w:val="single" w:sz="2" w:space="0" w:color="FFFFFF" w:themeColor="background1"/>
            </w:tcBorders>
            <w:vAlign w:val="center"/>
            <w:hideMark/>
          </w:tcPr>
          <w:p w14:paraId="3433B9F0" w14:textId="790DAB4C" w:rsidR="002031F4" w:rsidRPr="00A3253C" w:rsidRDefault="002031F4" w:rsidP="002031F4">
            <w:pPr>
              <w:pStyle w:val="TableText"/>
              <w:jc w:val="center"/>
              <w:rPr>
                <w:rFonts w:cs="Calibri"/>
                <w:sz w:val="16"/>
                <w:szCs w:val="16"/>
              </w:rPr>
            </w:pPr>
            <w:r w:rsidRPr="00A3253C">
              <w:rPr>
                <w:rFonts w:ascii="Arial" w:hAnsi="Arial" w:cs="Arial"/>
                <w:sz w:val="16"/>
                <w:szCs w:val="16"/>
              </w:rPr>
              <w:t>2736</w:t>
            </w:r>
          </w:p>
        </w:tc>
        <w:tc>
          <w:tcPr>
            <w:tcW w:w="712" w:type="pct"/>
            <w:tcBorders>
              <w:bottom w:val="single" w:sz="2" w:space="0" w:color="FFFFFF" w:themeColor="background1"/>
            </w:tcBorders>
            <w:vAlign w:val="center"/>
            <w:hideMark/>
          </w:tcPr>
          <w:p w14:paraId="3F70FF49" w14:textId="468C7BBA" w:rsidR="002031F4" w:rsidRPr="00A3253C" w:rsidRDefault="002031F4" w:rsidP="002031F4">
            <w:pPr>
              <w:pStyle w:val="TableText"/>
              <w:jc w:val="center"/>
              <w:rPr>
                <w:rFonts w:cs="Calibri"/>
                <w:sz w:val="16"/>
                <w:szCs w:val="16"/>
              </w:rPr>
            </w:pPr>
            <w:r w:rsidRPr="00A3253C">
              <w:rPr>
                <w:rFonts w:ascii="Arial" w:hAnsi="Arial" w:cs="Arial"/>
                <w:sz w:val="16"/>
                <w:szCs w:val="16"/>
              </w:rPr>
              <w:t>0.34</w:t>
            </w:r>
          </w:p>
        </w:tc>
        <w:tc>
          <w:tcPr>
            <w:tcW w:w="842" w:type="pct"/>
            <w:tcBorders>
              <w:bottom w:val="single" w:sz="2" w:space="0" w:color="FFFFFF" w:themeColor="background1"/>
            </w:tcBorders>
            <w:vAlign w:val="center"/>
            <w:hideMark/>
          </w:tcPr>
          <w:p w14:paraId="6CFE57DA" w14:textId="61D01477" w:rsidR="002031F4" w:rsidRPr="00A3253C" w:rsidRDefault="002031F4" w:rsidP="002031F4">
            <w:pPr>
              <w:pStyle w:val="TableText"/>
              <w:jc w:val="center"/>
              <w:rPr>
                <w:rFonts w:cs="Calibri"/>
                <w:sz w:val="16"/>
                <w:szCs w:val="16"/>
              </w:rPr>
            </w:pPr>
            <w:r w:rsidRPr="00A3253C">
              <w:rPr>
                <w:rFonts w:ascii="Arial" w:hAnsi="Arial" w:cs="Arial"/>
                <w:sz w:val="16"/>
                <w:szCs w:val="16"/>
              </w:rPr>
              <w:t>2634</w:t>
            </w:r>
          </w:p>
        </w:tc>
        <w:tc>
          <w:tcPr>
            <w:tcW w:w="795" w:type="pct"/>
            <w:tcBorders>
              <w:bottom w:val="single" w:sz="2" w:space="0" w:color="FFFFFF" w:themeColor="background1"/>
            </w:tcBorders>
            <w:vAlign w:val="center"/>
            <w:hideMark/>
          </w:tcPr>
          <w:p w14:paraId="747D3935" w14:textId="5CE50D98" w:rsidR="002031F4" w:rsidRPr="00A3253C" w:rsidRDefault="002031F4" w:rsidP="002031F4">
            <w:pPr>
              <w:pStyle w:val="TableText"/>
              <w:jc w:val="center"/>
              <w:rPr>
                <w:rFonts w:cs="Calibri"/>
                <w:sz w:val="16"/>
                <w:szCs w:val="16"/>
              </w:rPr>
            </w:pPr>
            <w:r w:rsidRPr="00A3253C">
              <w:rPr>
                <w:rFonts w:ascii="Arial" w:hAnsi="Arial" w:cs="Arial"/>
                <w:sz w:val="16"/>
                <w:szCs w:val="16"/>
              </w:rPr>
              <w:t>3.90</w:t>
            </w:r>
          </w:p>
        </w:tc>
      </w:tr>
      <w:tr w:rsidR="00BD1057" w:rsidRPr="00A3253C" w14:paraId="0DBD0D7F" w14:textId="77777777" w:rsidTr="00BD1057">
        <w:trPr>
          <w:cnfStyle w:val="000000010000" w:firstRow="0" w:lastRow="0" w:firstColumn="0" w:lastColumn="0" w:oddVBand="0" w:evenVBand="0" w:oddHBand="0" w:evenHBand="1" w:firstRowFirstColumn="0" w:firstRowLastColumn="0" w:lastRowFirstColumn="0" w:lastRowLastColumn="0"/>
          <w:trHeight w:val="278"/>
        </w:trPr>
        <w:tc>
          <w:tcPr>
            <w:tcW w:w="5000" w:type="pct"/>
            <w:gridSpan w:val="6"/>
            <w:shd w:val="solid" w:color="3C3E42" w:themeColor="accent1" w:fill="ECECEC" w:themeFill="text2"/>
            <w:hideMark/>
          </w:tcPr>
          <w:p w14:paraId="3B7189B7" w14:textId="0D8DE9E6" w:rsidR="00BD1057" w:rsidRPr="00A3253C" w:rsidRDefault="00BD1057" w:rsidP="00BD1057">
            <w:pPr>
              <w:pStyle w:val="TableHeading"/>
              <w:rPr>
                <w:sz w:val="16"/>
                <w:szCs w:val="16"/>
              </w:rPr>
            </w:pPr>
            <w:r w:rsidRPr="00A3253C">
              <w:rPr>
                <w:sz w:val="16"/>
                <w:szCs w:val="16"/>
              </w:rPr>
              <w:t>US Indices</w:t>
            </w:r>
            <w:r w:rsidRPr="00A3253C">
              <w:rPr>
                <w:rFonts w:cs="Calibri"/>
                <w:sz w:val="16"/>
                <w:szCs w:val="16"/>
              </w:rPr>
              <w:t> </w:t>
            </w:r>
          </w:p>
        </w:tc>
      </w:tr>
      <w:tr w:rsidR="002031F4" w:rsidRPr="00A3253C" w14:paraId="1CB6FFE8" w14:textId="77777777" w:rsidTr="002031F4">
        <w:trPr>
          <w:trHeight w:val="263"/>
        </w:trPr>
        <w:tc>
          <w:tcPr>
            <w:tcW w:w="400" w:type="pct"/>
            <w:vAlign w:val="center"/>
            <w:hideMark/>
          </w:tcPr>
          <w:p w14:paraId="28BB76B6" w14:textId="6A494BE2"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515" w:type="pct"/>
            <w:vAlign w:val="center"/>
            <w:hideMark/>
          </w:tcPr>
          <w:p w14:paraId="3AC5F916" w14:textId="7018C364" w:rsidR="002031F4" w:rsidRPr="00A3253C" w:rsidRDefault="002031F4" w:rsidP="002031F4">
            <w:pPr>
              <w:pStyle w:val="TableText"/>
              <w:jc w:val="center"/>
              <w:rPr>
                <w:rFonts w:cs="Calibri"/>
                <w:sz w:val="16"/>
                <w:szCs w:val="16"/>
              </w:rPr>
            </w:pPr>
            <w:r w:rsidRPr="00A3253C">
              <w:rPr>
                <w:rFonts w:ascii="Arial" w:hAnsi="Arial" w:cs="Arial"/>
                <w:sz w:val="16"/>
                <w:szCs w:val="16"/>
              </w:rPr>
              <w:t>S&amp;P 500</w:t>
            </w:r>
          </w:p>
        </w:tc>
        <w:tc>
          <w:tcPr>
            <w:tcW w:w="737" w:type="pct"/>
            <w:vAlign w:val="center"/>
            <w:hideMark/>
          </w:tcPr>
          <w:p w14:paraId="57F19A15" w14:textId="631925CA" w:rsidR="002031F4" w:rsidRPr="00A3253C" w:rsidRDefault="002031F4" w:rsidP="002031F4">
            <w:pPr>
              <w:pStyle w:val="TableText"/>
              <w:jc w:val="center"/>
              <w:rPr>
                <w:rFonts w:cs="Calibri"/>
                <w:sz w:val="16"/>
                <w:szCs w:val="16"/>
              </w:rPr>
            </w:pPr>
            <w:r w:rsidRPr="00A3253C">
              <w:rPr>
                <w:rFonts w:ascii="Arial" w:hAnsi="Arial" w:cs="Arial"/>
                <w:sz w:val="16"/>
                <w:szCs w:val="16"/>
              </w:rPr>
              <w:t>3270</w:t>
            </w:r>
          </w:p>
        </w:tc>
        <w:tc>
          <w:tcPr>
            <w:tcW w:w="712" w:type="pct"/>
            <w:vAlign w:val="center"/>
            <w:hideMark/>
          </w:tcPr>
          <w:p w14:paraId="6AB0F057" w14:textId="5F39E05C" w:rsidR="002031F4" w:rsidRPr="00A3253C" w:rsidRDefault="002031F4" w:rsidP="002031F4">
            <w:pPr>
              <w:pStyle w:val="TableText"/>
              <w:jc w:val="center"/>
              <w:rPr>
                <w:rFonts w:cs="Calibri"/>
                <w:sz w:val="16"/>
                <w:szCs w:val="16"/>
              </w:rPr>
            </w:pPr>
            <w:r w:rsidRPr="00A3253C">
              <w:rPr>
                <w:rFonts w:ascii="Arial" w:hAnsi="Arial" w:cs="Arial"/>
                <w:sz w:val="16"/>
                <w:szCs w:val="16"/>
              </w:rPr>
              <w:t>-2.77</w:t>
            </w:r>
          </w:p>
        </w:tc>
        <w:tc>
          <w:tcPr>
            <w:tcW w:w="842" w:type="pct"/>
            <w:vAlign w:val="center"/>
            <w:hideMark/>
          </w:tcPr>
          <w:p w14:paraId="21013C35" w14:textId="0AC644FA" w:rsidR="002031F4" w:rsidRPr="00A3253C" w:rsidRDefault="002031F4" w:rsidP="002031F4">
            <w:pPr>
              <w:pStyle w:val="TableText"/>
              <w:jc w:val="center"/>
              <w:rPr>
                <w:rFonts w:cs="Calibri"/>
                <w:sz w:val="16"/>
                <w:szCs w:val="16"/>
              </w:rPr>
            </w:pPr>
            <w:r w:rsidRPr="00A3253C">
              <w:rPr>
                <w:rFonts w:ascii="Arial" w:hAnsi="Arial" w:cs="Arial"/>
                <w:sz w:val="16"/>
                <w:szCs w:val="16"/>
              </w:rPr>
              <w:t>3271</w:t>
            </w:r>
          </w:p>
        </w:tc>
        <w:tc>
          <w:tcPr>
            <w:tcW w:w="795" w:type="pct"/>
            <w:vAlign w:val="center"/>
            <w:hideMark/>
          </w:tcPr>
          <w:p w14:paraId="476F87BC" w14:textId="7EF72C17" w:rsidR="002031F4" w:rsidRPr="00A3253C" w:rsidRDefault="002031F4" w:rsidP="002031F4">
            <w:pPr>
              <w:pStyle w:val="TableText"/>
              <w:jc w:val="center"/>
              <w:rPr>
                <w:rFonts w:cs="Calibri"/>
                <w:sz w:val="16"/>
                <w:szCs w:val="16"/>
              </w:rPr>
            </w:pPr>
            <w:r w:rsidRPr="00A3253C">
              <w:rPr>
                <w:rFonts w:ascii="Arial" w:hAnsi="Arial" w:cs="Arial"/>
                <w:sz w:val="16"/>
                <w:szCs w:val="16"/>
              </w:rPr>
              <w:t>-0.04</w:t>
            </w:r>
          </w:p>
        </w:tc>
      </w:tr>
      <w:tr w:rsidR="002031F4" w:rsidRPr="00A3253C" w14:paraId="7641A65E" w14:textId="77777777" w:rsidTr="002031F4">
        <w:trPr>
          <w:cnfStyle w:val="000000010000" w:firstRow="0" w:lastRow="0" w:firstColumn="0" w:lastColumn="0" w:oddVBand="0" w:evenVBand="0" w:oddHBand="0" w:evenHBand="1" w:firstRowFirstColumn="0" w:firstRowLastColumn="0" w:lastRowFirstColumn="0" w:lastRowLastColumn="0"/>
          <w:trHeight w:val="263"/>
        </w:trPr>
        <w:tc>
          <w:tcPr>
            <w:tcW w:w="400" w:type="pct"/>
            <w:vAlign w:val="center"/>
            <w:hideMark/>
          </w:tcPr>
          <w:p w14:paraId="33841B22" w14:textId="605038CC"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515" w:type="pct"/>
            <w:vAlign w:val="center"/>
            <w:hideMark/>
          </w:tcPr>
          <w:p w14:paraId="6E11B580" w14:textId="107CE14B" w:rsidR="002031F4" w:rsidRPr="00A3253C" w:rsidRDefault="002031F4" w:rsidP="002031F4">
            <w:pPr>
              <w:pStyle w:val="TableText"/>
              <w:jc w:val="center"/>
              <w:rPr>
                <w:rFonts w:cs="Calibri"/>
                <w:sz w:val="16"/>
                <w:szCs w:val="16"/>
              </w:rPr>
            </w:pPr>
            <w:r w:rsidRPr="00A3253C">
              <w:rPr>
                <w:rFonts w:ascii="Arial" w:hAnsi="Arial" w:cs="Arial"/>
                <w:sz w:val="16"/>
                <w:szCs w:val="16"/>
              </w:rPr>
              <w:t>Dow Jones</w:t>
            </w:r>
          </w:p>
        </w:tc>
        <w:tc>
          <w:tcPr>
            <w:tcW w:w="737" w:type="pct"/>
            <w:vAlign w:val="center"/>
            <w:hideMark/>
          </w:tcPr>
          <w:p w14:paraId="386CDAA6" w14:textId="022340B7" w:rsidR="002031F4" w:rsidRPr="00A3253C" w:rsidRDefault="002031F4" w:rsidP="002031F4">
            <w:pPr>
              <w:pStyle w:val="TableText"/>
              <w:jc w:val="center"/>
              <w:rPr>
                <w:rFonts w:cs="Calibri"/>
                <w:sz w:val="16"/>
                <w:szCs w:val="16"/>
              </w:rPr>
            </w:pPr>
            <w:r w:rsidRPr="00A3253C">
              <w:rPr>
                <w:rFonts w:ascii="Arial" w:hAnsi="Arial" w:cs="Arial"/>
                <w:sz w:val="16"/>
                <w:szCs w:val="16"/>
              </w:rPr>
              <w:t>26502</w:t>
            </w:r>
          </w:p>
        </w:tc>
        <w:tc>
          <w:tcPr>
            <w:tcW w:w="712" w:type="pct"/>
            <w:vAlign w:val="center"/>
            <w:hideMark/>
          </w:tcPr>
          <w:p w14:paraId="430CE28E" w14:textId="5FF1AB43" w:rsidR="002031F4" w:rsidRPr="00A3253C" w:rsidRDefault="002031F4" w:rsidP="002031F4">
            <w:pPr>
              <w:pStyle w:val="TableText"/>
              <w:jc w:val="center"/>
              <w:rPr>
                <w:rFonts w:cs="Calibri"/>
                <w:sz w:val="16"/>
                <w:szCs w:val="16"/>
              </w:rPr>
            </w:pPr>
            <w:r w:rsidRPr="00A3253C">
              <w:rPr>
                <w:rFonts w:ascii="Arial" w:hAnsi="Arial" w:cs="Arial"/>
                <w:sz w:val="16"/>
                <w:szCs w:val="16"/>
              </w:rPr>
              <w:t>-4.61</w:t>
            </w:r>
          </w:p>
        </w:tc>
        <w:tc>
          <w:tcPr>
            <w:tcW w:w="842" w:type="pct"/>
            <w:vAlign w:val="center"/>
            <w:hideMark/>
          </w:tcPr>
          <w:p w14:paraId="605C29AA" w14:textId="2D6A3B37" w:rsidR="002031F4" w:rsidRPr="00A3253C" w:rsidRDefault="002031F4" w:rsidP="002031F4">
            <w:pPr>
              <w:pStyle w:val="TableText"/>
              <w:jc w:val="center"/>
              <w:rPr>
                <w:rFonts w:cs="Calibri"/>
                <w:sz w:val="16"/>
                <w:szCs w:val="16"/>
              </w:rPr>
            </w:pPr>
            <w:r w:rsidRPr="00A3253C">
              <w:rPr>
                <w:rFonts w:ascii="Arial" w:hAnsi="Arial" w:cs="Arial"/>
                <w:sz w:val="16"/>
                <w:szCs w:val="16"/>
              </w:rPr>
              <w:t>26428</w:t>
            </w:r>
          </w:p>
        </w:tc>
        <w:tc>
          <w:tcPr>
            <w:tcW w:w="795" w:type="pct"/>
            <w:vAlign w:val="center"/>
            <w:hideMark/>
          </w:tcPr>
          <w:p w14:paraId="4AB754EB" w14:textId="292F31E7" w:rsidR="002031F4" w:rsidRPr="00A3253C" w:rsidRDefault="002031F4" w:rsidP="002031F4">
            <w:pPr>
              <w:pStyle w:val="TableText"/>
              <w:jc w:val="center"/>
              <w:rPr>
                <w:rFonts w:cs="Calibri"/>
                <w:sz w:val="16"/>
                <w:szCs w:val="16"/>
              </w:rPr>
            </w:pPr>
            <w:r w:rsidRPr="00A3253C">
              <w:rPr>
                <w:rFonts w:ascii="Arial" w:hAnsi="Arial" w:cs="Arial"/>
                <w:sz w:val="16"/>
                <w:szCs w:val="16"/>
              </w:rPr>
              <w:t>0.28</w:t>
            </w:r>
          </w:p>
        </w:tc>
      </w:tr>
      <w:tr w:rsidR="002031F4" w:rsidRPr="00A3253C" w14:paraId="78C90721" w14:textId="77777777" w:rsidTr="002031F4">
        <w:trPr>
          <w:trHeight w:val="263"/>
        </w:trPr>
        <w:tc>
          <w:tcPr>
            <w:tcW w:w="400" w:type="pct"/>
            <w:vAlign w:val="center"/>
            <w:hideMark/>
          </w:tcPr>
          <w:p w14:paraId="4F984CAC" w14:textId="3E3392DD"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515" w:type="pct"/>
            <w:vAlign w:val="center"/>
            <w:hideMark/>
          </w:tcPr>
          <w:p w14:paraId="20C24B50" w14:textId="2377E756" w:rsidR="002031F4" w:rsidRPr="00A3253C" w:rsidRDefault="002031F4" w:rsidP="002031F4">
            <w:pPr>
              <w:pStyle w:val="TableText"/>
              <w:jc w:val="center"/>
              <w:rPr>
                <w:rFonts w:cs="Calibri"/>
                <w:sz w:val="16"/>
                <w:szCs w:val="16"/>
              </w:rPr>
            </w:pPr>
            <w:r w:rsidRPr="00A3253C">
              <w:rPr>
                <w:rFonts w:ascii="Arial" w:hAnsi="Arial" w:cs="Arial"/>
                <w:sz w:val="16"/>
                <w:szCs w:val="16"/>
              </w:rPr>
              <w:t>Nasdaq</w:t>
            </w:r>
          </w:p>
        </w:tc>
        <w:tc>
          <w:tcPr>
            <w:tcW w:w="737" w:type="pct"/>
            <w:vAlign w:val="center"/>
            <w:hideMark/>
          </w:tcPr>
          <w:p w14:paraId="58CFF3F5" w14:textId="792D6D14" w:rsidR="002031F4" w:rsidRPr="00A3253C" w:rsidRDefault="002031F4" w:rsidP="002031F4">
            <w:pPr>
              <w:pStyle w:val="TableText"/>
              <w:jc w:val="center"/>
              <w:rPr>
                <w:rFonts w:cs="Calibri"/>
                <w:sz w:val="16"/>
                <w:szCs w:val="16"/>
              </w:rPr>
            </w:pPr>
            <w:r w:rsidRPr="00A3253C">
              <w:rPr>
                <w:rFonts w:ascii="Arial" w:hAnsi="Arial" w:cs="Arial"/>
                <w:sz w:val="16"/>
                <w:szCs w:val="16"/>
              </w:rPr>
              <w:t>10912</w:t>
            </w:r>
          </w:p>
        </w:tc>
        <w:tc>
          <w:tcPr>
            <w:tcW w:w="712" w:type="pct"/>
            <w:vAlign w:val="center"/>
            <w:hideMark/>
          </w:tcPr>
          <w:p w14:paraId="3CCEEB2D" w14:textId="5103044E" w:rsidR="002031F4" w:rsidRPr="00A3253C" w:rsidRDefault="002031F4" w:rsidP="002031F4">
            <w:pPr>
              <w:pStyle w:val="TableText"/>
              <w:jc w:val="center"/>
              <w:rPr>
                <w:rFonts w:cs="Calibri"/>
                <w:sz w:val="16"/>
                <w:szCs w:val="16"/>
              </w:rPr>
            </w:pPr>
            <w:r w:rsidRPr="00A3253C">
              <w:rPr>
                <w:rFonts w:ascii="Arial" w:hAnsi="Arial" w:cs="Arial"/>
                <w:sz w:val="16"/>
                <w:szCs w:val="16"/>
              </w:rPr>
              <w:t>-2.29</w:t>
            </w:r>
          </w:p>
        </w:tc>
        <w:tc>
          <w:tcPr>
            <w:tcW w:w="842" w:type="pct"/>
            <w:vAlign w:val="center"/>
            <w:hideMark/>
          </w:tcPr>
          <w:p w14:paraId="6920E9C6" w14:textId="6A94E174" w:rsidR="002031F4" w:rsidRPr="00A3253C" w:rsidRDefault="002031F4" w:rsidP="002031F4">
            <w:pPr>
              <w:pStyle w:val="TableText"/>
              <w:jc w:val="center"/>
              <w:rPr>
                <w:rFonts w:cs="Calibri"/>
                <w:sz w:val="16"/>
                <w:szCs w:val="16"/>
              </w:rPr>
            </w:pPr>
            <w:r w:rsidRPr="00A3253C">
              <w:rPr>
                <w:rFonts w:ascii="Arial" w:hAnsi="Arial" w:cs="Arial"/>
                <w:sz w:val="16"/>
                <w:szCs w:val="16"/>
              </w:rPr>
              <w:t>10745</w:t>
            </w:r>
          </w:p>
        </w:tc>
        <w:tc>
          <w:tcPr>
            <w:tcW w:w="795" w:type="pct"/>
            <w:vAlign w:val="center"/>
            <w:hideMark/>
          </w:tcPr>
          <w:p w14:paraId="2EB53543" w14:textId="6F2D0A96" w:rsidR="002031F4" w:rsidRPr="00A3253C" w:rsidRDefault="002031F4" w:rsidP="002031F4">
            <w:pPr>
              <w:pStyle w:val="TableText"/>
              <w:jc w:val="center"/>
              <w:rPr>
                <w:rFonts w:cs="Calibri"/>
                <w:sz w:val="16"/>
                <w:szCs w:val="16"/>
              </w:rPr>
            </w:pPr>
            <w:r w:rsidRPr="00A3253C">
              <w:rPr>
                <w:rFonts w:ascii="Arial" w:hAnsi="Arial" w:cs="Arial"/>
                <w:sz w:val="16"/>
                <w:szCs w:val="16"/>
              </w:rPr>
              <w:t>1.55</w:t>
            </w:r>
          </w:p>
        </w:tc>
      </w:tr>
    </w:tbl>
    <w:tbl>
      <w:tblPr>
        <w:tblStyle w:val="TableIOOF"/>
        <w:tblW w:w="5000" w:type="pct"/>
        <w:tblLayout w:type="fixed"/>
        <w:tblLook w:val="04A0" w:firstRow="1" w:lastRow="0" w:firstColumn="1" w:lastColumn="0" w:noHBand="0" w:noVBand="1"/>
      </w:tblPr>
      <w:tblGrid>
        <w:gridCol w:w="383"/>
        <w:gridCol w:w="1174"/>
        <w:gridCol w:w="850"/>
        <w:gridCol w:w="861"/>
        <w:gridCol w:w="845"/>
        <w:gridCol w:w="699"/>
      </w:tblGrid>
      <w:tr w:rsidR="00BD1057" w:rsidRPr="00A3253C" w14:paraId="374ECDC9" w14:textId="77777777" w:rsidTr="00BD1057">
        <w:trPr>
          <w:cnfStyle w:val="100000000000" w:firstRow="1" w:lastRow="0" w:firstColumn="0" w:lastColumn="0" w:oddVBand="0" w:evenVBand="0" w:oddHBand="0" w:evenHBand="0" w:firstRowFirstColumn="0" w:firstRowLastColumn="0" w:lastRowFirstColumn="0" w:lastRowLastColumn="0"/>
          <w:trHeight w:val="278"/>
        </w:trPr>
        <w:tc>
          <w:tcPr>
            <w:tcW w:w="5000" w:type="pct"/>
            <w:gridSpan w:val="6"/>
            <w:hideMark/>
          </w:tcPr>
          <w:p w14:paraId="7896412A" w14:textId="79A9EBE7" w:rsidR="00BD1057" w:rsidRPr="00A3253C" w:rsidRDefault="00BD1057" w:rsidP="00BD1057">
            <w:pPr>
              <w:pStyle w:val="TableHeading"/>
              <w:rPr>
                <w:sz w:val="16"/>
                <w:szCs w:val="16"/>
              </w:rPr>
            </w:pPr>
            <w:r w:rsidRPr="00A3253C">
              <w:rPr>
                <w:sz w:val="16"/>
                <w:szCs w:val="16"/>
              </w:rPr>
              <w:t>Asia Pacific Indices</w:t>
            </w:r>
            <w:r w:rsidRPr="00A3253C">
              <w:rPr>
                <w:rFonts w:cs="Calibri"/>
                <w:sz w:val="16"/>
                <w:szCs w:val="16"/>
              </w:rPr>
              <w:t> </w:t>
            </w:r>
          </w:p>
        </w:tc>
      </w:tr>
      <w:tr w:rsidR="002031F4" w:rsidRPr="00A3253C" w14:paraId="776DF09D" w14:textId="77777777" w:rsidTr="00341759">
        <w:trPr>
          <w:trHeight w:val="263"/>
        </w:trPr>
        <w:tc>
          <w:tcPr>
            <w:tcW w:w="398" w:type="pct"/>
            <w:vAlign w:val="center"/>
            <w:hideMark/>
          </w:tcPr>
          <w:p w14:paraId="653976A7" w14:textId="0B028914" w:rsidR="002031F4" w:rsidRPr="00A3253C" w:rsidRDefault="002031F4" w:rsidP="002031F4">
            <w:pPr>
              <w:pStyle w:val="TableText"/>
              <w:jc w:val="center"/>
              <w:rPr>
                <w:rFonts w:cs="Calibri"/>
                <w:color w:val="FF0000"/>
                <w:sz w:val="16"/>
                <w:szCs w:val="16"/>
              </w:rPr>
            </w:pPr>
            <w:r w:rsidRPr="00A3253C">
              <w:rPr>
                <w:rFonts w:ascii="Arial" w:hAnsi="Arial" w:cs="Arial"/>
                <w:color w:val="00B050"/>
                <w:sz w:val="16"/>
                <w:szCs w:val="16"/>
              </w:rPr>
              <w:t>▲</w:t>
            </w:r>
          </w:p>
        </w:tc>
        <w:tc>
          <w:tcPr>
            <w:tcW w:w="1220" w:type="pct"/>
            <w:vAlign w:val="center"/>
            <w:hideMark/>
          </w:tcPr>
          <w:p w14:paraId="6889CE51" w14:textId="00123E33" w:rsidR="002031F4" w:rsidRPr="00A3253C" w:rsidRDefault="002031F4" w:rsidP="002031F4">
            <w:pPr>
              <w:pStyle w:val="TableText"/>
              <w:jc w:val="center"/>
              <w:rPr>
                <w:rFonts w:cs="Calibri"/>
                <w:sz w:val="16"/>
                <w:szCs w:val="16"/>
              </w:rPr>
            </w:pPr>
            <w:r w:rsidRPr="00A3253C">
              <w:rPr>
                <w:rFonts w:ascii="Arial" w:hAnsi="Arial" w:cs="Arial"/>
                <w:sz w:val="16"/>
                <w:szCs w:val="16"/>
              </w:rPr>
              <w:t>Hang Seng</w:t>
            </w:r>
          </w:p>
        </w:tc>
        <w:tc>
          <w:tcPr>
            <w:tcW w:w="883" w:type="pct"/>
            <w:vAlign w:val="center"/>
            <w:hideMark/>
          </w:tcPr>
          <w:p w14:paraId="09BCD79D" w14:textId="3D352E13" w:rsidR="002031F4" w:rsidRPr="00A3253C" w:rsidRDefault="002031F4" w:rsidP="002031F4">
            <w:pPr>
              <w:pStyle w:val="TableText"/>
              <w:jc w:val="center"/>
              <w:rPr>
                <w:rFonts w:cs="Calibri"/>
                <w:sz w:val="16"/>
                <w:szCs w:val="16"/>
              </w:rPr>
            </w:pPr>
            <w:r w:rsidRPr="00A3253C">
              <w:rPr>
                <w:rFonts w:ascii="Arial" w:hAnsi="Arial" w:cs="Arial"/>
                <w:sz w:val="16"/>
                <w:szCs w:val="16"/>
              </w:rPr>
              <w:t>24107</w:t>
            </w:r>
          </w:p>
        </w:tc>
        <w:tc>
          <w:tcPr>
            <w:tcW w:w="895" w:type="pct"/>
            <w:vAlign w:val="center"/>
            <w:hideMark/>
          </w:tcPr>
          <w:p w14:paraId="2CA861E0" w14:textId="6611A8F0" w:rsidR="002031F4" w:rsidRPr="00A3253C" w:rsidRDefault="002031F4" w:rsidP="002031F4">
            <w:pPr>
              <w:pStyle w:val="TableText"/>
              <w:jc w:val="center"/>
              <w:rPr>
                <w:rFonts w:cs="Calibri"/>
                <w:sz w:val="16"/>
                <w:szCs w:val="16"/>
              </w:rPr>
            </w:pPr>
            <w:r w:rsidRPr="00A3253C">
              <w:rPr>
                <w:rFonts w:ascii="Arial" w:hAnsi="Arial" w:cs="Arial"/>
                <w:sz w:val="16"/>
                <w:szCs w:val="16"/>
              </w:rPr>
              <w:t>2.76</w:t>
            </w:r>
          </w:p>
        </w:tc>
        <w:tc>
          <w:tcPr>
            <w:tcW w:w="878" w:type="pct"/>
            <w:vAlign w:val="center"/>
            <w:hideMark/>
          </w:tcPr>
          <w:p w14:paraId="52BF9EEC" w14:textId="4260D46F" w:rsidR="002031F4" w:rsidRPr="00A3253C" w:rsidRDefault="002031F4" w:rsidP="002031F4">
            <w:pPr>
              <w:pStyle w:val="TableText"/>
              <w:jc w:val="center"/>
              <w:rPr>
                <w:rFonts w:cs="Calibri"/>
                <w:sz w:val="16"/>
                <w:szCs w:val="16"/>
              </w:rPr>
            </w:pPr>
            <w:r w:rsidRPr="00A3253C">
              <w:rPr>
                <w:rFonts w:ascii="Arial" w:hAnsi="Arial" w:cs="Arial"/>
                <w:sz w:val="16"/>
                <w:szCs w:val="16"/>
              </w:rPr>
              <w:t>24595</w:t>
            </w:r>
          </w:p>
        </w:tc>
        <w:tc>
          <w:tcPr>
            <w:tcW w:w="726" w:type="pct"/>
            <w:vAlign w:val="center"/>
            <w:hideMark/>
          </w:tcPr>
          <w:p w14:paraId="1C40A7B1" w14:textId="1E2880FF" w:rsidR="002031F4" w:rsidRPr="00A3253C" w:rsidRDefault="002031F4" w:rsidP="002031F4">
            <w:pPr>
              <w:pStyle w:val="TableText"/>
              <w:jc w:val="center"/>
              <w:rPr>
                <w:rFonts w:cs="Calibri"/>
                <w:sz w:val="16"/>
                <w:szCs w:val="16"/>
              </w:rPr>
            </w:pPr>
            <w:r w:rsidRPr="00A3253C">
              <w:rPr>
                <w:rFonts w:ascii="Arial" w:hAnsi="Arial" w:cs="Arial"/>
                <w:sz w:val="16"/>
                <w:szCs w:val="16"/>
              </w:rPr>
              <w:t>-1.98</w:t>
            </w:r>
          </w:p>
        </w:tc>
      </w:tr>
      <w:tr w:rsidR="002031F4" w:rsidRPr="00A3253C" w14:paraId="14007E79" w14:textId="77777777" w:rsidTr="00341759">
        <w:trPr>
          <w:cnfStyle w:val="000000010000" w:firstRow="0" w:lastRow="0" w:firstColumn="0" w:lastColumn="0" w:oddVBand="0" w:evenVBand="0" w:oddHBand="0" w:evenHBand="1" w:firstRowFirstColumn="0" w:firstRowLastColumn="0" w:lastRowFirstColumn="0" w:lastRowLastColumn="0"/>
          <w:trHeight w:val="263"/>
        </w:trPr>
        <w:tc>
          <w:tcPr>
            <w:tcW w:w="398" w:type="pct"/>
            <w:tcBorders>
              <w:bottom w:val="nil"/>
            </w:tcBorders>
            <w:vAlign w:val="center"/>
            <w:hideMark/>
          </w:tcPr>
          <w:p w14:paraId="4FB4A388" w14:textId="241C3838"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220" w:type="pct"/>
            <w:tcBorders>
              <w:bottom w:val="nil"/>
            </w:tcBorders>
            <w:vAlign w:val="center"/>
            <w:hideMark/>
          </w:tcPr>
          <w:p w14:paraId="5FF272D8" w14:textId="0F5FE7AF" w:rsidR="002031F4" w:rsidRPr="00A3253C" w:rsidRDefault="002031F4" w:rsidP="002031F4">
            <w:pPr>
              <w:pStyle w:val="TableText"/>
              <w:jc w:val="center"/>
              <w:rPr>
                <w:rFonts w:cs="Calibri"/>
                <w:sz w:val="16"/>
                <w:szCs w:val="16"/>
              </w:rPr>
            </w:pPr>
            <w:r w:rsidRPr="00A3253C">
              <w:rPr>
                <w:rFonts w:ascii="Arial" w:hAnsi="Arial" w:cs="Arial"/>
                <w:sz w:val="16"/>
                <w:szCs w:val="16"/>
              </w:rPr>
              <w:t>Nikkei 225</w:t>
            </w:r>
          </w:p>
        </w:tc>
        <w:tc>
          <w:tcPr>
            <w:tcW w:w="883" w:type="pct"/>
            <w:tcBorders>
              <w:bottom w:val="nil"/>
            </w:tcBorders>
            <w:vAlign w:val="center"/>
            <w:hideMark/>
          </w:tcPr>
          <w:p w14:paraId="732CAB85" w14:textId="76AB8E3D" w:rsidR="002031F4" w:rsidRPr="00A3253C" w:rsidRDefault="002031F4" w:rsidP="002031F4">
            <w:pPr>
              <w:pStyle w:val="TableText"/>
              <w:jc w:val="center"/>
              <w:rPr>
                <w:rFonts w:cs="Calibri"/>
                <w:sz w:val="16"/>
                <w:szCs w:val="16"/>
              </w:rPr>
            </w:pPr>
            <w:r w:rsidRPr="00A3253C">
              <w:rPr>
                <w:rFonts w:ascii="Arial" w:hAnsi="Arial" w:cs="Arial"/>
                <w:sz w:val="16"/>
                <w:szCs w:val="16"/>
              </w:rPr>
              <w:t>22977</w:t>
            </w:r>
          </w:p>
        </w:tc>
        <w:tc>
          <w:tcPr>
            <w:tcW w:w="895" w:type="pct"/>
            <w:tcBorders>
              <w:bottom w:val="nil"/>
            </w:tcBorders>
            <w:vAlign w:val="center"/>
            <w:hideMark/>
          </w:tcPr>
          <w:p w14:paraId="13BD1278" w14:textId="00F25FF4" w:rsidR="002031F4" w:rsidRPr="00A3253C" w:rsidRDefault="002031F4" w:rsidP="002031F4">
            <w:pPr>
              <w:pStyle w:val="TableText"/>
              <w:jc w:val="center"/>
              <w:rPr>
                <w:rFonts w:cs="Calibri"/>
                <w:sz w:val="16"/>
                <w:szCs w:val="16"/>
              </w:rPr>
            </w:pPr>
            <w:r w:rsidRPr="00A3253C">
              <w:rPr>
                <w:rFonts w:ascii="Arial" w:hAnsi="Arial" w:cs="Arial"/>
                <w:sz w:val="16"/>
                <w:szCs w:val="16"/>
              </w:rPr>
              <w:t>-0.90</w:t>
            </w:r>
          </w:p>
        </w:tc>
        <w:tc>
          <w:tcPr>
            <w:tcW w:w="878" w:type="pct"/>
            <w:tcBorders>
              <w:bottom w:val="nil"/>
            </w:tcBorders>
            <w:vAlign w:val="center"/>
            <w:hideMark/>
          </w:tcPr>
          <w:p w14:paraId="577A3087" w14:textId="5884DDD7" w:rsidR="002031F4" w:rsidRPr="00A3253C" w:rsidRDefault="002031F4" w:rsidP="002031F4">
            <w:pPr>
              <w:pStyle w:val="TableText"/>
              <w:jc w:val="center"/>
              <w:rPr>
                <w:rFonts w:cs="Calibri"/>
                <w:sz w:val="16"/>
                <w:szCs w:val="16"/>
              </w:rPr>
            </w:pPr>
            <w:r w:rsidRPr="00A3253C">
              <w:rPr>
                <w:rFonts w:ascii="Arial" w:hAnsi="Arial" w:cs="Arial"/>
                <w:sz w:val="16"/>
                <w:szCs w:val="16"/>
              </w:rPr>
              <w:t>21710</w:t>
            </w:r>
          </w:p>
        </w:tc>
        <w:tc>
          <w:tcPr>
            <w:tcW w:w="726" w:type="pct"/>
            <w:tcBorders>
              <w:bottom w:val="nil"/>
            </w:tcBorders>
            <w:vAlign w:val="center"/>
            <w:hideMark/>
          </w:tcPr>
          <w:p w14:paraId="05A487F5" w14:textId="29EC1569" w:rsidR="002031F4" w:rsidRPr="00A3253C" w:rsidRDefault="002031F4" w:rsidP="002031F4">
            <w:pPr>
              <w:pStyle w:val="TableText"/>
              <w:jc w:val="center"/>
              <w:rPr>
                <w:rFonts w:cs="Calibri"/>
                <w:sz w:val="16"/>
                <w:szCs w:val="16"/>
              </w:rPr>
            </w:pPr>
            <w:r w:rsidRPr="00A3253C">
              <w:rPr>
                <w:rFonts w:ascii="Arial" w:hAnsi="Arial" w:cs="Arial"/>
                <w:sz w:val="16"/>
                <w:szCs w:val="16"/>
              </w:rPr>
              <w:t>5.84</w:t>
            </w:r>
          </w:p>
        </w:tc>
      </w:tr>
      <w:tr w:rsidR="00BD1057" w:rsidRPr="00A3253C" w14:paraId="2ADED28A" w14:textId="77777777" w:rsidTr="00BD1057">
        <w:trPr>
          <w:trHeight w:val="186"/>
        </w:trPr>
        <w:tc>
          <w:tcPr>
            <w:tcW w:w="5000" w:type="pct"/>
            <w:gridSpan w:val="6"/>
            <w:tcBorders>
              <w:top w:val="nil"/>
              <w:left w:val="nil"/>
              <w:bottom w:val="nil"/>
              <w:right w:val="nil"/>
            </w:tcBorders>
            <w:shd w:val="solid" w:color="3C3E42" w:themeColor="accent1" w:fill="F5F5F6" w:themeFill="background2"/>
            <w:hideMark/>
          </w:tcPr>
          <w:p w14:paraId="34408944" w14:textId="7E1A07A8" w:rsidR="00BD1057" w:rsidRPr="00A3253C" w:rsidRDefault="00BD1057" w:rsidP="00BD1057">
            <w:pPr>
              <w:pStyle w:val="TableHeading"/>
              <w:rPr>
                <w:sz w:val="16"/>
                <w:szCs w:val="16"/>
              </w:rPr>
            </w:pPr>
            <w:r w:rsidRPr="00A3253C">
              <w:rPr>
                <w:sz w:val="16"/>
                <w:szCs w:val="16"/>
              </w:rPr>
              <w:t>UK &amp; Europe Indices</w:t>
            </w:r>
          </w:p>
        </w:tc>
      </w:tr>
      <w:tr w:rsidR="002031F4" w:rsidRPr="00A3253C" w14:paraId="63361DBB" w14:textId="77777777" w:rsidTr="00341759">
        <w:trPr>
          <w:cnfStyle w:val="000000010000" w:firstRow="0" w:lastRow="0" w:firstColumn="0" w:lastColumn="0" w:oddVBand="0" w:evenVBand="0" w:oddHBand="0" w:evenHBand="1" w:firstRowFirstColumn="0" w:firstRowLastColumn="0" w:lastRowFirstColumn="0" w:lastRowLastColumn="0"/>
          <w:trHeight w:val="263"/>
        </w:trPr>
        <w:tc>
          <w:tcPr>
            <w:tcW w:w="398" w:type="pct"/>
            <w:tcBorders>
              <w:top w:val="nil"/>
              <w:left w:val="nil"/>
              <w:bottom w:val="nil"/>
              <w:right w:val="nil"/>
            </w:tcBorders>
            <w:vAlign w:val="center"/>
            <w:hideMark/>
          </w:tcPr>
          <w:p w14:paraId="413FD3FF" w14:textId="611B2913"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220" w:type="pct"/>
            <w:tcBorders>
              <w:left w:val="nil"/>
            </w:tcBorders>
            <w:vAlign w:val="center"/>
            <w:hideMark/>
          </w:tcPr>
          <w:p w14:paraId="48B4ABA3" w14:textId="2AFD365D" w:rsidR="002031F4" w:rsidRPr="00A3253C" w:rsidRDefault="002031F4" w:rsidP="002031F4">
            <w:pPr>
              <w:pStyle w:val="TableText"/>
              <w:jc w:val="center"/>
              <w:rPr>
                <w:rFonts w:cs="Calibri"/>
                <w:sz w:val="16"/>
                <w:szCs w:val="16"/>
              </w:rPr>
            </w:pPr>
            <w:r w:rsidRPr="00A3253C">
              <w:rPr>
                <w:rFonts w:ascii="Arial" w:hAnsi="Arial" w:cs="Arial"/>
                <w:sz w:val="16"/>
                <w:szCs w:val="16"/>
              </w:rPr>
              <w:t>FTSE 100</w:t>
            </w:r>
          </w:p>
        </w:tc>
        <w:tc>
          <w:tcPr>
            <w:tcW w:w="883" w:type="pct"/>
            <w:vAlign w:val="center"/>
            <w:hideMark/>
          </w:tcPr>
          <w:p w14:paraId="5629696D" w14:textId="67804C86" w:rsidR="002031F4" w:rsidRPr="00A3253C" w:rsidRDefault="002031F4" w:rsidP="002031F4">
            <w:pPr>
              <w:pStyle w:val="TableText"/>
              <w:jc w:val="center"/>
              <w:rPr>
                <w:rFonts w:cs="Calibri"/>
                <w:sz w:val="16"/>
                <w:szCs w:val="16"/>
              </w:rPr>
            </w:pPr>
            <w:r w:rsidRPr="00A3253C">
              <w:rPr>
                <w:rFonts w:ascii="Arial" w:hAnsi="Arial" w:cs="Arial"/>
                <w:sz w:val="16"/>
                <w:szCs w:val="16"/>
              </w:rPr>
              <w:t>5577</w:t>
            </w:r>
          </w:p>
        </w:tc>
        <w:tc>
          <w:tcPr>
            <w:tcW w:w="895" w:type="pct"/>
            <w:vAlign w:val="center"/>
            <w:hideMark/>
          </w:tcPr>
          <w:p w14:paraId="0DBE52F1" w14:textId="09769FAA" w:rsidR="002031F4" w:rsidRPr="00A3253C" w:rsidRDefault="002031F4" w:rsidP="002031F4">
            <w:pPr>
              <w:pStyle w:val="TableText"/>
              <w:jc w:val="center"/>
              <w:rPr>
                <w:rFonts w:cs="Calibri"/>
                <w:sz w:val="16"/>
                <w:szCs w:val="16"/>
              </w:rPr>
            </w:pPr>
            <w:r w:rsidRPr="00A3253C">
              <w:rPr>
                <w:rFonts w:ascii="Arial" w:hAnsi="Arial" w:cs="Arial"/>
                <w:sz w:val="16"/>
                <w:szCs w:val="16"/>
              </w:rPr>
              <w:t>-4.92</w:t>
            </w:r>
          </w:p>
        </w:tc>
        <w:tc>
          <w:tcPr>
            <w:tcW w:w="878" w:type="pct"/>
            <w:vAlign w:val="center"/>
            <w:hideMark/>
          </w:tcPr>
          <w:p w14:paraId="5980A0F2" w14:textId="45787BD9" w:rsidR="002031F4" w:rsidRPr="00A3253C" w:rsidRDefault="002031F4" w:rsidP="002031F4">
            <w:pPr>
              <w:pStyle w:val="TableText"/>
              <w:jc w:val="center"/>
              <w:rPr>
                <w:rFonts w:cs="Calibri"/>
                <w:sz w:val="16"/>
                <w:szCs w:val="16"/>
              </w:rPr>
            </w:pPr>
            <w:r w:rsidRPr="00A3253C">
              <w:rPr>
                <w:rFonts w:ascii="Arial" w:hAnsi="Arial" w:cs="Arial"/>
                <w:sz w:val="16"/>
                <w:szCs w:val="16"/>
              </w:rPr>
              <w:t>5898</w:t>
            </w:r>
          </w:p>
        </w:tc>
        <w:tc>
          <w:tcPr>
            <w:tcW w:w="726" w:type="pct"/>
            <w:vAlign w:val="center"/>
            <w:hideMark/>
          </w:tcPr>
          <w:p w14:paraId="36AB4300" w14:textId="79E09272" w:rsidR="002031F4" w:rsidRPr="00A3253C" w:rsidRDefault="002031F4" w:rsidP="002031F4">
            <w:pPr>
              <w:pStyle w:val="TableText"/>
              <w:jc w:val="center"/>
              <w:rPr>
                <w:rFonts w:cs="Calibri"/>
                <w:sz w:val="16"/>
                <w:szCs w:val="16"/>
              </w:rPr>
            </w:pPr>
            <w:r w:rsidRPr="00A3253C">
              <w:rPr>
                <w:rFonts w:ascii="Arial" w:hAnsi="Arial" w:cs="Arial"/>
                <w:sz w:val="16"/>
                <w:szCs w:val="16"/>
              </w:rPr>
              <w:t>-5.43</w:t>
            </w:r>
          </w:p>
        </w:tc>
      </w:tr>
      <w:tr w:rsidR="002031F4" w:rsidRPr="00A3253C" w14:paraId="4C575427" w14:textId="77777777" w:rsidTr="00341759">
        <w:trPr>
          <w:trHeight w:val="263"/>
        </w:trPr>
        <w:tc>
          <w:tcPr>
            <w:tcW w:w="398" w:type="pct"/>
            <w:tcBorders>
              <w:top w:val="nil"/>
            </w:tcBorders>
            <w:vAlign w:val="center"/>
            <w:hideMark/>
          </w:tcPr>
          <w:p w14:paraId="2E1F7AC2" w14:textId="57A8BE01"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220" w:type="pct"/>
            <w:vAlign w:val="center"/>
            <w:hideMark/>
          </w:tcPr>
          <w:p w14:paraId="08B52691" w14:textId="0AC6BA12" w:rsidR="002031F4" w:rsidRPr="00A3253C" w:rsidRDefault="002031F4" w:rsidP="002031F4">
            <w:pPr>
              <w:pStyle w:val="TableText"/>
              <w:jc w:val="center"/>
              <w:rPr>
                <w:rFonts w:cs="Calibri"/>
                <w:sz w:val="16"/>
                <w:szCs w:val="16"/>
              </w:rPr>
            </w:pPr>
            <w:r w:rsidRPr="00A3253C">
              <w:rPr>
                <w:rFonts w:ascii="Arial" w:hAnsi="Arial" w:cs="Arial"/>
                <w:sz w:val="16"/>
                <w:szCs w:val="16"/>
              </w:rPr>
              <w:t>CAC40</w:t>
            </w:r>
          </w:p>
        </w:tc>
        <w:tc>
          <w:tcPr>
            <w:tcW w:w="883" w:type="pct"/>
            <w:vAlign w:val="center"/>
            <w:hideMark/>
          </w:tcPr>
          <w:p w14:paraId="28954418" w14:textId="2A745687" w:rsidR="002031F4" w:rsidRPr="00A3253C" w:rsidRDefault="002031F4" w:rsidP="002031F4">
            <w:pPr>
              <w:pStyle w:val="TableText"/>
              <w:jc w:val="center"/>
              <w:rPr>
                <w:rFonts w:cs="Calibri"/>
                <w:sz w:val="16"/>
                <w:szCs w:val="16"/>
              </w:rPr>
            </w:pPr>
            <w:r w:rsidRPr="00A3253C">
              <w:rPr>
                <w:rFonts w:ascii="Arial" w:hAnsi="Arial" w:cs="Arial"/>
                <w:sz w:val="16"/>
                <w:szCs w:val="16"/>
              </w:rPr>
              <w:t>4594</w:t>
            </w:r>
          </w:p>
        </w:tc>
        <w:tc>
          <w:tcPr>
            <w:tcW w:w="895" w:type="pct"/>
            <w:vAlign w:val="center"/>
            <w:hideMark/>
          </w:tcPr>
          <w:p w14:paraId="01622823" w14:textId="3CD63544" w:rsidR="002031F4" w:rsidRPr="00A3253C" w:rsidRDefault="002031F4" w:rsidP="002031F4">
            <w:pPr>
              <w:pStyle w:val="TableText"/>
              <w:jc w:val="center"/>
              <w:rPr>
                <w:rFonts w:cs="Calibri"/>
                <w:sz w:val="16"/>
                <w:szCs w:val="16"/>
              </w:rPr>
            </w:pPr>
            <w:r w:rsidRPr="00A3253C">
              <w:rPr>
                <w:rFonts w:ascii="Arial" w:hAnsi="Arial" w:cs="Arial"/>
                <w:sz w:val="16"/>
                <w:szCs w:val="16"/>
              </w:rPr>
              <w:t>-4.36</w:t>
            </w:r>
          </w:p>
        </w:tc>
        <w:tc>
          <w:tcPr>
            <w:tcW w:w="878" w:type="pct"/>
            <w:vAlign w:val="center"/>
            <w:hideMark/>
          </w:tcPr>
          <w:p w14:paraId="2DAA6AE8" w14:textId="4EDD4CBE" w:rsidR="002031F4" w:rsidRPr="00A3253C" w:rsidRDefault="002031F4" w:rsidP="002031F4">
            <w:pPr>
              <w:pStyle w:val="TableText"/>
              <w:jc w:val="center"/>
              <w:rPr>
                <w:rFonts w:cs="Calibri"/>
                <w:sz w:val="16"/>
                <w:szCs w:val="16"/>
              </w:rPr>
            </w:pPr>
            <w:r w:rsidRPr="00A3253C">
              <w:rPr>
                <w:rFonts w:ascii="Arial" w:hAnsi="Arial" w:cs="Arial"/>
                <w:sz w:val="16"/>
                <w:szCs w:val="16"/>
              </w:rPr>
              <w:t>4784</w:t>
            </w:r>
          </w:p>
        </w:tc>
        <w:tc>
          <w:tcPr>
            <w:tcW w:w="726" w:type="pct"/>
            <w:vAlign w:val="center"/>
            <w:hideMark/>
          </w:tcPr>
          <w:p w14:paraId="7DD415DA" w14:textId="1B6A7ABC" w:rsidR="002031F4" w:rsidRPr="00A3253C" w:rsidRDefault="002031F4" w:rsidP="002031F4">
            <w:pPr>
              <w:pStyle w:val="TableText"/>
              <w:jc w:val="center"/>
              <w:rPr>
                <w:rFonts w:cs="Calibri"/>
                <w:sz w:val="16"/>
                <w:szCs w:val="16"/>
              </w:rPr>
            </w:pPr>
            <w:r w:rsidRPr="00A3253C">
              <w:rPr>
                <w:rFonts w:ascii="Arial" w:hAnsi="Arial" w:cs="Arial"/>
                <w:sz w:val="16"/>
                <w:szCs w:val="16"/>
              </w:rPr>
              <w:t>-3.96</w:t>
            </w:r>
          </w:p>
        </w:tc>
      </w:tr>
      <w:tr w:rsidR="002031F4" w:rsidRPr="00A3253C" w14:paraId="6B94EDD7" w14:textId="77777777" w:rsidTr="00341759">
        <w:trPr>
          <w:cnfStyle w:val="000000010000" w:firstRow="0" w:lastRow="0" w:firstColumn="0" w:lastColumn="0" w:oddVBand="0" w:evenVBand="0" w:oddHBand="0" w:evenHBand="1" w:firstRowFirstColumn="0" w:firstRowLastColumn="0" w:lastRowFirstColumn="0" w:lastRowLastColumn="0"/>
          <w:trHeight w:val="263"/>
        </w:trPr>
        <w:tc>
          <w:tcPr>
            <w:tcW w:w="398" w:type="pct"/>
            <w:vAlign w:val="center"/>
            <w:hideMark/>
          </w:tcPr>
          <w:p w14:paraId="4D443974" w14:textId="35BD4897" w:rsidR="002031F4" w:rsidRPr="00A3253C" w:rsidRDefault="002031F4" w:rsidP="002031F4">
            <w:pPr>
              <w:pStyle w:val="TableText"/>
              <w:jc w:val="center"/>
              <w:rPr>
                <w:rFonts w:cs="Calibri"/>
                <w:color w:val="00B050"/>
                <w:sz w:val="16"/>
                <w:szCs w:val="16"/>
              </w:rPr>
            </w:pPr>
            <w:r w:rsidRPr="00A3253C">
              <w:rPr>
                <w:rFonts w:ascii="Arial" w:hAnsi="Arial" w:cs="Arial"/>
                <w:color w:val="FF0000"/>
                <w:sz w:val="16"/>
                <w:szCs w:val="16"/>
              </w:rPr>
              <w:t>▼</w:t>
            </w:r>
          </w:p>
        </w:tc>
        <w:tc>
          <w:tcPr>
            <w:tcW w:w="1220" w:type="pct"/>
            <w:vAlign w:val="center"/>
            <w:hideMark/>
          </w:tcPr>
          <w:p w14:paraId="4D5CF673" w14:textId="616849CB" w:rsidR="002031F4" w:rsidRPr="00A3253C" w:rsidRDefault="002031F4" w:rsidP="002031F4">
            <w:pPr>
              <w:pStyle w:val="TableText"/>
              <w:jc w:val="center"/>
              <w:rPr>
                <w:rFonts w:cs="Calibri"/>
                <w:sz w:val="16"/>
                <w:szCs w:val="16"/>
              </w:rPr>
            </w:pPr>
            <w:r w:rsidRPr="00A3253C">
              <w:rPr>
                <w:rFonts w:ascii="Arial" w:hAnsi="Arial" w:cs="Arial"/>
                <w:sz w:val="16"/>
                <w:szCs w:val="16"/>
              </w:rPr>
              <w:t>DAX Index</w:t>
            </w:r>
          </w:p>
        </w:tc>
        <w:tc>
          <w:tcPr>
            <w:tcW w:w="883" w:type="pct"/>
            <w:vAlign w:val="center"/>
            <w:hideMark/>
          </w:tcPr>
          <w:p w14:paraId="0267756B" w14:textId="58B12DB4" w:rsidR="002031F4" w:rsidRPr="00A3253C" w:rsidRDefault="002031F4" w:rsidP="002031F4">
            <w:pPr>
              <w:pStyle w:val="TableText"/>
              <w:jc w:val="center"/>
              <w:rPr>
                <w:rFonts w:cs="Calibri"/>
                <w:sz w:val="16"/>
                <w:szCs w:val="16"/>
              </w:rPr>
            </w:pPr>
            <w:r w:rsidRPr="00A3253C">
              <w:rPr>
                <w:rFonts w:ascii="Arial" w:hAnsi="Arial" w:cs="Arial"/>
                <w:sz w:val="16"/>
                <w:szCs w:val="16"/>
              </w:rPr>
              <w:t>11556</w:t>
            </w:r>
          </w:p>
        </w:tc>
        <w:tc>
          <w:tcPr>
            <w:tcW w:w="895" w:type="pct"/>
            <w:vAlign w:val="center"/>
            <w:hideMark/>
          </w:tcPr>
          <w:p w14:paraId="561042F7" w14:textId="665CE34B" w:rsidR="002031F4" w:rsidRPr="00A3253C" w:rsidRDefault="002031F4" w:rsidP="002031F4">
            <w:pPr>
              <w:pStyle w:val="TableText"/>
              <w:jc w:val="center"/>
              <w:rPr>
                <w:rFonts w:cs="Calibri"/>
                <w:sz w:val="16"/>
                <w:szCs w:val="16"/>
              </w:rPr>
            </w:pPr>
            <w:r w:rsidRPr="00A3253C">
              <w:rPr>
                <w:rFonts w:ascii="Arial" w:hAnsi="Arial" w:cs="Arial"/>
                <w:sz w:val="16"/>
                <w:szCs w:val="16"/>
              </w:rPr>
              <w:t>-9.44</w:t>
            </w:r>
          </w:p>
        </w:tc>
        <w:tc>
          <w:tcPr>
            <w:tcW w:w="878" w:type="pct"/>
            <w:vAlign w:val="center"/>
            <w:hideMark/>
          </w:tcPr>
          <w:p w14:paraId="48E5E74E" w14:textId="58889397" w:rsidR="002031F4" w:rsidRPr="00A3253C" w:rsidRDefault="002031F4" w:rsidP="002031F4">
            <w:pPr>
              <w:pStyle w:val="TableText"/>
              <w:jc w:val="center"/>
              <w:rPr>
                <w:rFonts w:cs="Calibri"/>
                <w:sz w:val="16"/>
                <w:szCs w:val="16"/>
              </w:rPr>
            </w:pPr>
            <w:r w:rsidRPr="00A3253C">
              <w:rPr>
                <w:rFonts w:ascii="Arial" w:hAnsi="Arial" w:cs="Arial"/>
                <w:sz w:val="16"/>
                <w:szCs w:val="16"/>
              </w:rPr>
              <w:t>12313</w:t>
            </w:r>
          </w:p>
        </w:tc>
        <w:tc>
          <w:tcPr>
            <w:tcW w:w="726" w:type="pct"/>
            <w:vAlign w:val="center"/>
            <w:hideMark/>
          </w:tcPr>
          <w:p w14:paraId="36E7898E" w14:textId="41E8E451" w:rsidR="002031F4" w:rsidRPr="00A3253C" w:rsidRDefault="002031F4" w:rsidP="002031F4">
            <w:pPr>
              <w:pStyle w:val="TableText"/>
              <w:jc w:val="center"/>
              <w:rPr>
                <w:rFonts w:cs="Calibri"/>
                <w:sz w:val="16"/>
                <w:szCs w:val="16"/>
              </w:rPr>
            </w:pPr>
            <w:r w:rsidRPr="00A3253C">
              <w:rPr>
                <w:rFonts w:ascii="Arial" w:hAnsi="Arial" w:cs="Arial"/>
                <w:sz w:val="16"/>
                <w:szCs w:val="16"/>
              </w:rPr>
              <w:t>-6.15</w:t>
            </w:r>
          </w:p>
        </w:tc>
      </w:tr>
    </w:tbl>
    <w:p w14:paraId="1B1460E6" w14:textId="77777777" w:rsidR="00BD1057" w:rsidRPr="00A3253C" w:rsidRDefault="00BD1057" w:rsidP="00BD1057">
      <w:pPr>
        <w:pStyle w:val="Disclaimer"/>
      </w:pPr>
      <w:r w:rsidRPr="00A3253C">
        <w:t>Sources: Bloomberg, MSCI, FTSE, S&amp;P, IOOF</w:t>
      </w:r>
    </w:p>
    <w:p w14:paraId="7E5652FB" w14:textId="77777777" w:rsidR="00D874AB" w:rsidRPr="00A3253C" w:rsidRDefault="00BD1057" w:rsidP="00BD1057">
      <w:pPr>
        <w:pStyle w:val="Disclaimer"/>
      </w:pPr>
      <w:r w:rsidRPr="00A3253C">
        <w:t xml:space="preserve">Note: return is reported on a price basis and in local currency terms </w:t>
      </w:r>
    </w:p>
    <w:p w14:paraId="0E7BC7CB" w14:textId="31900D2D" w:rsidR="00BD1057" w:rsidRPr="00A3253C" w:rsidRDefault="00BD1057" w:rsidP="00BD1057">
      <w:pPr>
        <w:pStyle w:val="Disclaimer"/>
      </w:pPr>
      <w:r w:rsidRPr="00A3253C">
        <w:t>e.g. S&amp;P500 performance is in US dollars and excluding dividends</w:t>
      </w:r>
    </w:p>
    <w:p w14:paraId="08B0FA72" w14:textId="0230355C" w:rsidR="00E06B70" w:rsidRPr="00A3253C" w:rsidRDefault="00884502" w:rsidP="00CD797E">
      <w:pPr>
        <w:pStyle w:val="Heading3"/>
      </w:pPr>
      <w:r w:rsidRPr="00A3253C">
        <w:t>G</w:t>
      </w:r>
      <w:r w:rsidR="00E06B70" w:rsidRPr="00A3253C">
        <w:t>lobal equity markets</w:t>
      </w:r>
    </w:p>
    <w:p w14:paraId="40DC890A" w14:textId="71EA6DBC" w:rsidR="001003E7" w:rsidRPr="00A3253C" w:rsidRDefault="00E06B70" w:rsidP="001003E7">
      <w:r w:rsidRPr="00A3253C">
        <w:t xml:space="preserve">Chinese equities were </w:t>
      </w:r>
      <w:r w:rsidR="00D744A5" w:rsidRPr="00A3253C">
        <w:t xml:space="preserve">a notable source of strength during October with the Hang Seng Index one of the few in positive territory. </w:t>
      </w:r>
      <w:r w:rsidR="00913D9D" w:rsidRPr="00A3253C">
        <w:t xml:space="preserve">Emerging markets more broadly benefited from expectations of more stable trade relations under a Biden presidency. </w:t>
      </w:r>
    </w:p>
    <w:p w14:paraId="7EA17CE9" w14:textId="77777777" w:rsidR="00913D9D" w:rsidRPr="00A3253C" w:rsidRDefault="005E2055" w:rsidP="0062412B">
      <w:r w:rsidRPr="00A3253C">
        <w:t>For developed markets price action was driven by</w:t>
      </w:r>
      <w:r w:rsidR="00913D9D" w:rsidRPr="00A3253C">
        <w:t>:</w:t>
      </w:r>
    </w:p>
    <w:p w14:paraId="120C0A93" w14:textId="77777777" w:rsidR="00913D9D" w:rsidRPr="00A3253C" w:rsidRDefault="0062412B" w:rsidP="00913D9D">
      <w:pPr>
        <w:pStyle w:val="ListBullet"/>
      </w:pPr>
      <w:r w:rsidRPr="00A3253C">
        <w:t xml:space="preserve"> i</w:t>
      </w:r>
      <w:r w:rsidR="005E2055" w:rsidRPr="00A3253C">
        <w:t xml:space="preserve">ncreased concerns over escalation in coronavirus cases in both Europe and the US. </w:t>
      </w:r>
      <w:r w:rsidR="00B75D4F" w:rsidRPr="00A3253C">
        <w:t>New</w:t>
      </w:r>
      <w:r w:rsidR="005E2055" w:rsidRPr="00A3253C">
        <w:t xml:space="preserve"> lockdown restrictions </w:t>
      </w:r>
      <w:r w:rsidR="00B75D4F" w:rsidRPr="00A3253C">
        <w:t>with businesses consequently forced to shut down weighed especially on European indices with the German DAX Index falling 9.4%.</w:t>
      </w:r>
      <w:r w:rsidR="005E2055" w:rsidRPr="00A3253C">
        <w:t xml:space="preserve"> </w:t>
      </w:r>
    </w:p>
    <w:p w14:paraId="744B941C" w14:textId="7B6CA53D" w:rsidR="005E2055" w:rsidRPr="00A3253C" w:rsidRDefault="0062412B" w:rsidP="00913D9D">
      <w:pPr>
        <w:pStyle w:val="ListBullet"/>
      </w:pPr>
      <w:r w:rsidRPr="00A3253C">
        <w:t xml:space="preserve">In the US uncertainty over the presidential election and a lack of progress on further fiscal stimulus weighed on the market. </w:t>
      </w:r>
    </w:p>
    <w:p w14:paraId="54C557DA" w14:textId="5C0717D9" w:rsidR="00D874AB" w:rsidRPr="00A3253C" w:rsidRDefault="00AE4AA9" w:rsidP="00D874AB">
      <w:pPr>
        <w:pStyle w:val="BodyText"/>
      </w:pPr>
      <w:r w:rsidRPr="00A3253C">
        <w:rPr>
          <w:noProof/>
        </w:rPr>
        <w:drawing>
          <wp:inline distT="0" distB="0" distL="0" distR="0" wp14:anchorId="78C99613" wp14:editId="5C57E502">
            <wp:extent cx="3059430" cy="106807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9430" cy="1068070"/>
                    </a:xfrm>
                    <a:prstGeom prst="rect">
                      <a:avLst/>
                    </a:prstGeom>
                    <a:noFill/>
                    <a:ln>
                      <a:noFill/>
                    </a:ln>
                  </pic:spPr>
                </pic:pic>
              </a:graphicData>
            </a:graphic>
          </wp:inline>
        </w:drawing>
      </w:r>
    </w:p>
    <w:p w14:paraId="642AEB6F" w14:textId="668E1CE3" w:rsidR="002D5508" w:rsidRPr="00A3253C" w:rsidRDefault="002D5508" w:rsidP="002D5508">
      <w:pPr>
        <w:pStyle w:val="Disclaimer"/>
      </w:pPr>
      <w:r w:rsidRPr="00A3253C">
        <w:t>Source: Bloomberg, IOOF</w:t>
      </w:r>
      <w:r w:rsidR="0062412B" w:rsidRPr="00A3253C">
        <w:t>, MSCI</w:t>
      </w:r>
    </w:p>
    <w:p w14:paraId="73D2BF56" w14:textId="3391430F" w:rsidR="002D5508" w:rsidRPr="00A3253C" w:rsidRDefault="002D5508" w:rsidP="00D874AB">
      <w:pPr>
        <w:pStyle w:val="BodyText"/>
      </w:pPr>
      <w:r w:rsidRPr="00A3253C">
        <w:t>At a style level, October showed some signs of a rotation-trade away from Momentum and Quality towards both value and small caps which showed strong relative outperformance especially the latter. Stronger economic growth expectations in the US were a factor following positive economic data. This weakened the duration trade that had arguably benefitted growth stock valuations. Given US dominance in global and growth-style indices, this drove overall benchmark returns lower.</w:t>
      </w:r>
    </w:p>
    <w:p w14:paraId="6ECD2B13" w14:textId="2B5E698A" w:rsidR="00D874AB" w:rsidRPr="00A3253C" w:rsidRDefault="00D874AB" w:rsidP="00D874AB">
      <w:pPr>
        <w:pStyle w:val="Heading3"/>
      </w:pPr>
      <w:r w:rsidRPr="00A3253C">
        <w:t>Australian equity markets</w:t>
      </w:r>
    </w:p>
    <w:p w14:paraId="2827CD67" w14:textId="0DAFF754" w:rsidR="0062412B" w:rsidRDefault="00AE4AA9" w:rsidP="00D874AB">
      <w:r w:rsidRPr="00A3253C">
        <w:t>The Australian market defied trends in global equities with a 1.9% rise for the benchmark S&amp;P/ASX 200 Price Index. At a sector level, the benchmark was driven hig</w:t>
      </w:r>
      <w:r w:rsidR="002D5508" w:rsidRPr="00A3253C">
        <w:t xml:space="preserve">her by the banking </w:t>
      </w:r>
      <w:r w:rsidR="00913D9D" w:rsidRPr="00A3253C">
        <w:t xml:space="preserve">(up 6.3%) </w:t>
      </w:r>
      <w:r w:rsidR="002D5508" w:rsidRPr="00A3253C">
        <w:t>and technology sectors</w:t>
      </w:r>
      <w:r w:rsidR="00913D9D" w:rsidRPr="00A3253C">
        <w:t xml:space="preserve"> (up 9.0%)</w:t>
      </w:r>
      <w:r w:rsidR="002D5508" w:rsidRPr="00A3253C">
        <w:t>.</w:t>
      </w:r>
      <w:r w:rsidR="00913D9D" w:rsidRPr="00A3253C">
        <w:t xml:space="preserve"> The Budget was well-received as a sign that the Coalition was committed to support the economy. This supported bank stocks in anticipation of </w:t>
      </w:r>
      <w:r w:rsidR="00D016AE">
        <w:t>an earlier economic recovery.</w:t>
      </w:r>
    </w:p>
    <w:p w14:paraId="32B01673" w14:textId="77777777" w:rsidR="00D016AE" w:rsidRPr="00A3253C" w:rsidRDefault="00D016AE" w:rsidP="00D874AB"/>
    <w:p w14:paraId="77738F21" w14:textId="76933567" w:rsidR="0062412B" w:rsidRPr="00A3253C" w:rsidRDefault="00AE4AA9" w:rsidP="00D874AB">
      <w:r w:rsidRPr="00A3253C">
        <w:rPr>
          <w:noProof/>
        </w:rPr>
        <w:drawing>
          <wp:inline distT="0" distB="0" distL="0" distR="0" wp14:anchorId="2DCABE4C" wp14:editId="24753F94">
            <wp:extent cx="3059430" cy="106807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9430" cy="1068070"/>
                    </a:xfrm>
                    <a:prstGeom prst="rect">
                      <a:avLst/>
                    </a:prstGeom>
                    <a:noFill/>
                    <a:ln>
                      <a:noFill/>
                    </a:ln>
                  </pic:spPr>
                </pic:pic>
              </a:graphicData>
            </a:graphic>
          </wp:inline>
        </w:drawing>
      </w:r>
    </w:p>
    <w:p w14:paraId="20413035" w14:textId="66FBADDB" w:rsidR="0062412B" w:rsidRPr="00A3253C" w:rsidRDefault="0062412B" w:rsidP="0062412B">
      <w:pPr>
        <w:pStyle w:val="Disclaimer"/>
      </w:pPr>
      <w:r w:rsidRPr="00A3253C">
        <w:t>Source: Bloomberg, IOOF, MSCI</w:t>
      </w:r>
    </w:p>
    <w:p w14:paraId="23505ED5" w14:textId="77777777" w:rsidR="00D016AE" w:rsidRDefault="00D016AE" w:rsidP="00D874AB"/>
    <w:p w14:paraId="4FFA7568" w14:textId="285A17D0" w:rsidR="00D874AB" w:rsidRPr="00A3253C" w:rsidRDefault="002D5508" w:rsidP="00D874AB">
      <w:r w:rsidRPr="00A3253C">
        <w:t xml:space="preserve">At a style level, Australia differed slightly to global share markets. Small caps underperformed </w:t>
      </w:r>
      <w:r w:rsidR="00BD65E2">
        <w:t xml:space="preserve">in October, </w:t>
      </w:r>
      <w:r w:rsidRPr="00A3253C">
        <w:t>but this view needs to acknowledge the outperformance they enjoyed since the March lows with smaller Australian companies rerating faster than global peers</w:t>
      </w:r>
      <w:r w:rsidR="006913F2" w:rsidRPr="00A3253C">
        <w:t xml:space="preserve">. </w:t>
      </w:r>
      <w:r w:rsidR="00BD65E2">
        <w:t>A</w:t>
      </w:r>
      <w:r w:rsidR="006913F2" w:rsidRPr="00A3253C">
        <w:t xml:space="preserve">ustralian small caps </w:t>
      </w:r>
      <w:r w:rsidR="00A3253C" w:rsidRPr="00A3253C">
        <w:t>beat</w:t>
      </w:r>
      <w:r w:rsidR="006913F2" w:rsidRPr="00A3253C">
        <w:t xml:space="preserve"> large caps in the year to October</w:t>
      </w:r>
      <w:r w:rsidR="00D016AE">
        <w:t xml:space="preserve"> in contrast to the global trend</w:t>
      </w:r>
      <w:r w:rsidRPr="00A3253C">
        <w:t>.</w:t>
      </w:r>
      <w:r w:rsidR="006913F2" w:rsidRPr="00A3253C">
        <w:t xml:space="preserve"> </w:t>
      </w:r>
    </w:p>
    <w:p w14:paraId="6CCE6853" w14:textId="77777777" w:rsidR="00D016AE" w:rsidRDefault="00D016AE" w:rsidP="00D874AB"/>
    <w:p w14:paraId="63C13D08" w14:textId="67C0DC40" w:rsidR="00AE4AA9" w:rsidRPr="00A3253C" w:rsidRDefault="001D1883" w:rsidP="00D874AB">
      <w:r w:rsidRPr="00A3253C">
        <w:t xml:space="preserve">Geopolitical risks also reappeared following month-end in stocks with exposure to Chinese exports such as Treasury Wine Estates. The wine producer, maker of brands such as Penfolds, saw itself the subject of anti-dumping investigation by Chinese authorities with potential tariff hikes as a result. It remains unclear how much these measures are legitimate as opposed to punishment over strained Australian-Chinese relations regarding Hong Kong and Chinese handling of the coronavirus pandemic. </w:t>
      </w:r>
      <w:r w:rsidR="00A3253C" w:rsidRPr="00A3253C">
        <w:t>The result</w:t>
      </w:r>
      <w:r w:rsidRPr="00A3253C">
        <w:t xml:space="preserve"> is a net negative regardless</w:t>
      </w:r>
      <w:r w:rsidR="008635AF" w:rsidRPr="00A3253C">
        <w:t>. M</w:t>
      </w:r>
      <w:r w:rsidRPr="00A3253C">
        <w:t xml:space="preserve">ore crucial </w:t>
      </w:r>
      <w:r w:rsidR="008635AF" w:rsidRPr="00A3253C">
        <w:t>ex</w:t>
      </w:r>
      <w:r w:rsidRPr="00A3253C">
        <w:t>ports, particularly iron ore have remained unaffected to date.</w:t>
      </w:r>
    </w:p>
    <w:p w14:paraId="66794583" w14:textId="68E7F8EB" w:rsidR="00E06B70" w:rsidRPr="00A3253C" w:rsidRDefault="00E06B70" w:rsidP="00243AA4">
      <w:pPr>
        <w:pStyle w:val="Heading2"/>
      </w:pPr>
      <w:r w:rsidRPr="00A3253C">
        <w:lastRenderedPageBreak/>
        <w:t>Fixed Income</w:t>
      </w:r>
    </w:p>
    <w:tbl>
      <w:tblPr>
        <w:tblStyle w:val="TableIOOF"/>
        <w:tblW w:w="5000" w:type="pct"/>
        <w:tblLayout w:type="fixed"/>
        <w:tblLook w:val="04A0" w:firstRow="1" w:lastRow="0" w:firstColumn="1" w:lastColumn="0" w:noHBand="0" w:noVBand="1"/>
      </w:tblPr>
      <w:tblGrid>
        <w:gridCol w:w="292"/>
        <w:gridCol w:w="1406"/>
        <w:gridCol w:w="851"/>
        <w:gridCol w:w="789"/>
        <w:gridCol w:w="770"/>
        <w:gridCol w:w="704"/>
      </w:tblGrid>
      <w:tr w:rsidR="00243AA4" w:rsidRPr="00A3253C" w14:paraId="028B2538" w14:textId="77777777" w:rsidTr="00CB469E">
        <w:trPr>
          <w:cnfStyle w:val="100000000000" w:firstRow="1" w:lastRow="0" w:firstColumn="0" w:lastColumn="0" w:oddVBand="0" w:evenVBand="0" w:oddHBand="0" w:evenHBand="0" w:firstRowFirstColumn="0" w:firstRowLastColumn="0" w:lastRowFirstColumn="0" w:lastRowLastColumn="0"/>
          <w:trHeight w:val="278"/>
        </w:trPr>
        <w:tc>
          <w:tcPr>
            <w:tcW w:w="1764" w:type="pct"/>
            <w:gridSpan w:val="2"/>
            <w:hideMark/>
          </w:tcPr>
          <w:p w14:paraId="6352EA95" w14:textId="47B21E20" w:rsidR="00243AA4" w:rsidRPr="00A3253C" w:rsidRDefault="00243AA4" w:rsidP="009E1D73">
            <w:pPr>
              <w:pStyle w:val="TableHeading"/>
              <w:jc w:val="center"/>
              <w:rPr>
                <w:rFonts w:ascii="Verdana" w:hAnsi="Verdana"/>
                <w:sz w:val="15"/>
                <w:szCs w:val="15"/>
              </w:rPr>
            </w:pPr>
            <w:r w:rsidRPr="00A3253C">
              <w:t>Fixed Income</w:t>
            </w:r>
          </w:p>
        </w:tc>
        <w:tc>
          <w:tcPr>
            <w:tcW w:w="884" w:type="pct"/>
            <w:hideMark/>
          </w:tcPr>
          <w:p w14:paraId="7EFE40AC" w14:textId="168B7B51" w:rsidR="00243AA4" w:rsidRPr="00A3253C" w:rsidRDefault="00021043" w:rsidP="009E1D73">
            <w:pPr>
              <w:pStyle w:val="TableHeading"/>
              <w:jc w:val="center"/>
            </w:pPr>
            <w:r w:rsidRPr="00A3253C">
              <w:t>Oct</w:t>
            </w:r>
            <w:r w:rsidR="00243AA4" w:rsidRPr="00A3253C">
              <w:t>-20 yield</w:t>
            </w:r>
          </w:p>
        </w:tc>
        <w:tc>
          <w:tcPr>
            <w:tcW w:w="820" w:type="pct"/>
            <w:hideMark/>
          </w:tcPr>
          <w:p w14:paraId="7B0411EC" w14:textId="77777777" w:rsidR="00243AA4" w:rsidRPr="00A3253C" w:rsidRDefault="00243AA4" w:rsidP="009E1D73">
            <w:pPr>
              <w:pStyle w:val="TableHeading"/>
              <w:jc w:val="center"/>
            </w:pPr>
            <w:r w:rsidRPr="00A3253C">
              <w:t>1M mvt (bps)</w:t>
            </w:r>
          </w:p>
        </w:tc>
        <w:tc>
          <w:tcPr>
            <w:tcW w:w="800" w:type="pct"/>
            <w:hideMark/>
          </w:tcPr>
          <w:p w14:paraId="66308C49" w14:textId="4A38C82B" w:rsidR="00243AA4" w:rsidRPr="00A3253C" w:rsidRDefault="00021043" w:rsidP="009E1D73">
            <w:pPr>
              <w:pStyle w:val="TableHeading"/>
              <w:jc w:val="center"/>
            </w:pPr>
            <w:r w:rsidRPr="00A3253C">
              <w:t>Jul</w:t>
            </w:r>
            <w:r w:rsidR="00243AA4" w:rsidRPr="00A3253C">
              <w:t>-20 yield</w:t>
            </w:r>
          </w:p>
        </w:tc>
        <w:tc>
          <w:tcPr>
            <w:tcW w:w="732" w:type="pct"/>
            <w:hideMark/>
          </w:tcPr>
          <w:p w14:paraId="6F82A89B" w14:textId="77777777" w:rsidR="00243AA4" w:rsidRPr="00A3253C" w:rsidRDefault="00243AA4" w:rsidP="009E1D73">
            <w:pPr>
              <w:pStyle w:val="TableHeading"/>
              <w:jc w:val="center"/>
            </w:pPr>
            <w:r w:rsidRPr="00A3253C">
              <w:t>3M mvt (bps)</w:t>
            </w:r>
          </w:p>
        </w:tc>
      </w:tr>
      <w:tr w:rsidR="009E1D73" w:rsidRPr="00A3253C" w14:paraId="1359F83F" w14:textId="77777777" w:rsidTr="00341759">
        <w:trPr>
          <w:trHeight w:val="263"/>
        </w:trPr>
        <w:tc>
          <w:tcPr>
            <w:tcW w:w="303" w:type="pct"/>
            <w:vAlign w:val="center"/>
            <w:hideMark/>
          </w:tcPr>
          <w:p w14:paraId="2F1F7FD4" w14:textId="77777777" w:rsidR="009E1D73" w:rsidRPr="00A3253C" w:rsidRDefault="009E1D73" w:rsidP="009E1D73">
            <w:pPr>
              <w:pStyle w:val="TableText"/>
              <w:rPr>
                <w:rFonts w:ascii="Times New Roman" w:hAnsi="Times New Roman"/>
                <w:sz w:val="20"/>
              </w:rPr>
            </w:pPr>
          </w:p>
        </w:tc>
        <w:tc>
          <w:tcPr>
            <w:tcW w:w="1461" w:type="pct"/>
            <w:vAlign w:val="center"/>
            <w:hideMark/>
          </w:tcPr>
          <w:p w14:paraId="6677C17B" w14:textId="4B1FAA85" w:rsidR="009E1D73" w:rsidRPr="00A3253C" w:rsidRDefault="009E1D73" w:rsidP="009E1D73">
            <w:pPr>
              <w:pStyle w:val="TableText"/>
              <w:rPr>
                <w:rFonts w:cs="Calibri"/>
              </w:rPr>
            </w:pPr>
            <w:r w:rsidRPr="00A3253C">
              <w:rPr>
                <w:rFonts w:ascii="Arial" w:hAnsi="Arial" w:cs="Arial"/>
                <w:szCs w:val="18"/>
              </w:rPr>
              <w:t>Australian Cash rate</w:t>
            </w:r>
          </w:p>
        </w:tc>
        <w:tc>
          <w:tcPr>
            <w:tcW w:w="884" w:type="pct"/>
            <w:vAlign w:val="center"/>
            <w:hideMark/>
          </w:tcPr>
          <w:p w14:paraId="1B4677E2" w14:textId="04C240F3" w:rsidR="009E1D73" w:rsidRPr="00A3253C" w:rsidRDefault="009E1D73" w:rsidP="009E1D73">
            <w:pPr>
              <w:pStyle w:val="TableText"/>
              <w:rPr>
                <w:rFonts w:cs="Calibri"/>
              </w:rPr>
            </w:pPr>
            <w:r w:rsidRPr="00A3253C">
              <w:rPr>
                <w:rFonts w:ascii="Arial" w:hAnsi="Arial" w:cs="Arial"/>
                <w:szCs w:val="18"/>
              </w:rPr>
              <w:t>0.25</w:t>
            </w:r>
          </w:p>
        </w:tc>
        <w:tc>
          <w:tcPr>
            <w:tcW w:w="820" w:type="pct"/>
            <w:vAlign w:val="center"/>
            <w:hideMark/>
          </w:tcPr>
          <w:p w14:paraId="7971D7AA" w14:textId="2D6C7744" w:rsidR="009E1D73" w:rsidRPr="00A3253C" w:rsidRDefault="009E1D73" w:rsidP="009E1D73">
            <w:pPr>
              <w:pStyle w:val="TableText"/>
              <w:rPr>
                <w:rFonts w:cs="Calibri"/>
              </w:rPr>
            </w:pPr>
            <w:r w:rsidRPr="00A3253C">
              <w:rPr>
                <w:rFonts w:ascii="Arial" w:hAnsi="Arial" w:cs="Arial"/>
                <w:szCs w:val="18"/>
              </w:rPr>
              <w:t>--</w:t>
            </w:r>
          </w:p>
        </w:tc>
        <w:tc>
          <w:tcPr>
            <w:tcW w:w="800" w:type="pct"/>
            <w:vAlign w:val="center"/>
            <w:hideMark/>
          </w:tcPr>
          <w:p w14:paraId="1F6B884D" w14:textId="659070B3" w:rsidR="009E1D73" w:rsidRPr="00A3253C" w:rsidRDefault="009E1D73" w:rsidP="009E1D73">
            <w:pPr>
              <w:pStyle w:val="TableText"/>
              <w:rPr>
                <w:rFonts w:cs="Calibri"/>
              </w:rPr>
            </w:pPr>
            <w:r w:rsidRPr="00A3253C">
              <w:rPr>
                <w:rFonts w:ascii="Arial" w:hAnsi="Arial" w:cs="Arial"/>
                <w:szCs w:val="18"/>
              </w:rPr>
              <w:t>0.25</w:t>
            </w:r>
          </w:p>
        </w:tc>
        <w:tc>
          <w:tcPr>
            <w:tcW w:w="732" w:type="pct"/>
            <w:vAlign w:val="center"/>
            <w:hideMark/>
          </w:tcPr>
          <w:p w14:paraId="7B58A90B" w14:textId="50C3D974" w:rsidR="009E1D73" w:rsidRPr="00A3253C" w:rsidRDefault="009E1D73" w:rsidP="009E1D73">
            <w:pPr>
              <w:pStyle w:val="TableText"/>
              <w:rPr>
                <w:rFonts w:cs="Calibri"/>
              </w:rPr>
            </w:pPr>
            <w:r w:rsidRPr="00A3253C">
              <w:rPr>
                <w:rFonts w:ascii="Arial" w:hAnsi="Arial" w:cs="Arial"/>
                <w:szCs w:val="18"/>
              </w:rPr>
              <w:t>--</w:t>
            </w:r>
          </w:p>
        </w:tc>
      </w:tr>
      <w:tr w:rsidR="009E1D73" w:rsidRPr="00A3253C" w14:paraId="53351F17" w14:textId="77777777" w:rsidTr="00341759">
        <w:trPr>
          <w:cnfStyle w:val="000000010000" w:firstRow="0" w:lastRow="0" w:firstColumn="0" w:lastColumn="0" w:oddVBand="0" w:evenVBand="0" w:oddHBand="0" w:evenHBand="1" w:firstRowFirstColumn="0" w:firstRowLastColumn="0" w:lastRowFirstColumn="0" w:lastRowLastColumn="0"/>
          <w:trHeight w:val="263"/>
        </w:trPr>
        <w:tc>
          <w:tcPr>
            <w:tcW w:w="303" w:type="pct"/>
            <w:vAlign w:val="center"/>
            <w:hideMark/>
          </w:tcPr>
          <w:p w14:paraId="7D953611" w14:textId="5A2F3BC0" w:rsidR="009E1D73" w:rsidRPr="00A3253C" w:rsidRDefault="009E1D73" w:rsidP="009E1D73">
            <w:pPr>
              <w:pStyle w:val="TableText"/>
              <w:rPr>
                <w:rFonts w:cs="Calibri"/>
                <w:color w:val="FF0000"/>
              </w:rPr>
            </w:pPr>
            <w:r w:rsidRPr="00A3253C">
              <w:rPr>
                <w:rFonts w:ascii="Arial" w:hAnsi="Arial" w:cs="Arial"/>
                <w:color w:val="00B050"/>
                <w:szCs w:val="18"/>
              </w:rPr>
              <w:t>▲</w:t>
            </w:r>
          </w:p>
        </w:tc>
        <w:tc>
          <w:tcPr>
            <w:tcW w:w="1461" w:type="pct"/>
            <w:vAlign w:val="center"/>
            <w:hideMark/>
          </w:tcPr>
          <w:p w14:paraId="60481852" w14:textId="5BDC2D5E" w:rsidR="009E1D73" w:rsidRPr="00A3253C" w:rsidRDefault="009E1D73" w:rsidP="009E1D73">
            <w:pPr>
              <w:pStyle w:val="TableText"/>
              <w:rPr>
                <w:rFonts w:cs="Calibri"/>
              </w:rPr>
            </w:pPr>
            <w:r w:rsidRPr="00A3253C">
              <w:rPr>
                <w:rFonts w:ascii="Arial" w:hAnsi="Arial" w:cs="Arial"/>
                <w:szCs w:val="18"/>
              </w:rPr>
              <w:t>10-year Bond Yield</w:t>
            </w:r>
          </w:p>
        </w:tc>
        <w:tc>
          <w:tcPr>
            <w:tcW w:w="884" w:type="pct"/>
            <w:vAlign w:val="center"/>
            <w:hideMark/>
          </w:tcPr>
          <w:p w14:paraId="48D9DC3A" w14:textId="36064722" w:rsidR="009E1D73" w:rsidRPr="00A3253C" w:rsidRDefault="009E1D73" w:rsidP="009E1D73">
            <w:pPr>
              <w:pStyle w:val="TableText"/>
              <w:rPr>
                <w:rFonts w:cs="Calibri"/>
              </w:rPr>
            </w:pPr>
            <w:r w:rsidRPr="00A3253C">
              <w:rPr>
                <w:rFonts w:ascii="Arial" w:hAnsi="Arial" w:cs="Arial"/>
                <w:szCs w:val="18"/>
              </w:rPr>
              <w:t>0.83</w:t>
            </w:r>
          </w:p>
        </w:tc>
        <w:tc>
          <w:tcPr>
            <w:tcW w:w="820" w:type="pct"/>
            <w:vAlign w:val="center"/>
            <w:hideMark/>
          </w:tcPr>
          <w:p w14:paraId="68E28020" w14:textId="1D293D27" w:rsidR="009E1D73" w:rsidRPr="00A3253C" w:rsidRDefault="009E1D73" w:rsidP="009E1D73">
            <w:pPr>
              <w:pStyle w:val="TableText"/>
              <w:rPr>
                <w:rFonts w:cs="Calibri"/>
              </w:rPr>
            </w:pPr>
            <w:r w:rsidRPr="00A3253C">
              <w:rPr>
                <w:rFonts w:ascii="Arial" w:hAnsi="Arial" w:cs="Arial"/>
                <w:szCs w:val="18"/>
              </w:rPr>
              <w:t>0.04</w:t>
            </w:r>
          </w:p>
        </w:tc>
        <w:tc>
          <w:tcPr>
            <w:tcW w:w="800" w:type="pct"/>
            <w:vAlign w:val="center"/>
            <w:hideMark/>
          </w:tcPr>
          <w:p w14:paraId="545A2A69" w14:textId="0E71D2A6" w:rsidR="009E1D73" w:rsidRPr="00A3253C" w:rsidRDefault="009E1D73" w:rsidP="009E1D73">
            <w:pPr>
              <w:pStyle w:val="TableText"/>
              <w:rPr>
                <w:rFonts w:cs="Calibri"/>
              </w:rPr>
            </w:pPr>
            <w:r w:rsidRPr="00A3253C">
              <w:rPr>
                <w:rFonts w:ascii="Arial" w:hAnsi="Arial" w:cs="Arial"/>
                <w:szCs w:val="18"/>
              </w:rPr>
              <w:t>0.82</w:t>
            </w:r>
          </w:p>
        </w:tc>
        <w:tc>
          <w:tcPr>
            <w:tcW w:w="732" w:type="pct"/>
            <w:vAlign w:val="center"/>
            <w:hideMark/>
          </w:tcPr>
          <w:p w14:paraId="2219CF5E" w14:textId="189DD83F" w:rsidR="009E1D73" w:rsidRPr="00A3253C" w:rsidRDefault="009E1D73" w:rsidP="009E1D73">
            <w:pPr>
              <w:pStyle w:val="TableText"/>
              <w:rPr>
                <w:rFonts w:cs="Calibri"/>
              </w:rPr>
            </w:pPr>
            <w:r w:rsidRPr="00A3253C">
              <w:rPr>
                <w:rFonts w:ascii="Arial" w:hAnsi="Arial" w:cs="Arial"/>
                <w:szCs w:val="18"/>
              </w:rPr>
              <w:t>0.01</w:t>
            </w:r>
          </w:p>
        </w:tc>
      </w:tr>
      <w:tr w:rsidR="009E1D73" w:rsidRPr="00A3253C" w14:paraId="59223B58" w14:textId="77777777" w:rsidTr="00341759">
        <w:trPr>
          <w:trHeight w:val="263"/>
        </w:trPr>
        <w:tc>
          <w:tcPr>
            <w:tcW w:w="303" w:type="pct"/>
            <w:vAlign w:val="center"/>
            <w:hideMark/>
          </w:tcPr>
          <w:p w14:paraId="37F69C4F" w14:textId="404BE8CD" w:rsidR="009E1D73" w:rsidRPr="00A3253C" w:rsidRDefault="009E1D73" w:rsidP="009E1D73">
            <w:pPr>
              <w:pStyle w:val="TableText"/>
              <w:rPr>
                <w:rFonts w:cs="Calibri"/>
                <w:color w:val="FF0000"/>
              </w:rPr>
            </w:pPr>
            <w:r w:rsidRPr="00A3253C">
              <w:rPr>
                <w:rFonts w:ascii="Arial" w:hAnsi="Arial" w:cs="Arial"/>
                <w:color w:val="FF0000"/>
                <w:szCs w:val="18"/>
              </w:rPr>
              <w:t>▼</w:t>
            </w:r>
          </w:p>
        </w:tc>
        <w:tc>
          <w:tcPr>
            <w:tcW w:w="1461" w:type="pct"/>
            <w:vAlign w:val="center"/>
            <w:hideMark/>
          </w:tcPr>
          <w:p w14:paraId="0AD74C35" w14:textId="1031F876" w:rsidR="009E1D73" w:rsidRPr="00A3253C" w:rsidRDefault="009E1D73" w:rsidP="009E1D73">
            <w:pPr>
              <w:pStyle w:val="TableText"/>
              <w:rPr>
                <w:rFonts w:cs="Calibri"/>
              </w:rPr>
            </w:pPr>
            <w:r w:rsidRPr="00A3253C">
              <w:rPr>
                <w:rFonts w:ascii="Arial" w:hAnsi="Arial" w:cs="Arial"/>
                <w:szCs w:val="18"/>
              </w:rPr>
              <w:t>3-year Bond Yield</w:t>
            </w:r>
          </w:p>
        </w:tc>
        <w:tc>
          <w:tcPr>
            <w:tcW w:w="884" w:type="pct"/>
            <w:vAlign w:val="center"/>
            <w:hideMark/>
          </w:tcPr>
          <w:p w14:paraId="00934800" w14:textId="1BAA0C24" w:rsidR="009E1D73" w:rsidRPr="00A3253C" w:rsidRDefault="009E1D73" w:rsidP="009E1D73">
            <w:pPr>
              <w:pStyle w:val="TableText"/>
              <w:rPr>
                <w:rFonts w:cs="Calibri"/>
              </w:rPr>
            </w:pPr>
            <w:r w:rsidRPr="00A3253C">
              <w:rPr>
                <w:rFonts w:ascii="Arial" w:hAnsi="Arial" w:cs="Arial"/>
                <w:szCs w:val="18"/>
              </w:rPr>
              <w:t>0.12</w:t>
            </w:r>
          </w:p>
        </w:tc>
        <w:tc>
          <w:tcPr>
            <w:tcW w:w="820" w:type="pct"/>
            <w:vAlign w:val="center"/>
            <w:hideMark/>
          </w:tcPr>
          <w:p w14:paraId="2D3DEB10" w14:textId="5BFF8B14" w:rsidR="009E1D73" w:rsidRPr="00A3253C" w:rsidRDefault="009E1D73" w:rsidP="009E1D73">
            <w:pPr>
              <w:pStyle w:val="TableText"/>
              <w:rPr>
                <w:rFonts w:cs="Calibri"/>
              </w:rPr>
            </w:pPr>
            <w:r w:rsidRPr="00A3253C">
              <w:rPr>
                <w:rFonts w:ascii="Arial" w:hAnsi="Arial" w:cs="Arial"/>
                <w:szCs w:val="18"/>
              </w:rPr>
              <w:t>-0.04</w:t>
            </w:r>
          </w:p>
        </w:tc>
        <w:tc>
          <w:tcPr>
            <w:tcW w:w="800" w:type="pct"/>
            <w:vAlign w:val="center"/>
            <w:hideMark/>
          </w:tcPr>
          <w:p w14:paraId="3B6F8E18" w14:textId="6612010C" w:rsidR="009E1D73" w:rsidRPr="00A3253C" w:rsidRDefault="009E1D73" w:rsidP="009E1D73">
            <w:pPr>
              <w:pStyle w:val="TableText"/>
              <w:rPr>
                <w:rFonts w:cs="Calibri"/>
              </w:rPr>
            </w:pPr>
            <w:r w:rsidRPr="00A3253C">
              <w:rPr>
                <w:rFonts w:ascii="Arial" w:hAnsi="Arial" w:cs="Arial"/>
                <w:szCs w:val="18"/>
              </w:rPr>
              <w:t>0.27</w:t>
            </w:r>
          </w:p>
        </w:tc>
        <w:tc>
          <w:tcPr>
            <w:tcW w:w="732" w:type="pct"/>
            <w:vAlign w:val="center"/>
            <w:hideMark/>
          </w:tcPr>
          <w:p w14:paraId="41AB066C" w14:textId="4A018C2A" w:rsidR="009E1D73" w:rsidRPr="00A3253C" w:rsidRDefault="009E1D73" w:rsidP="009E1D73">
            <w:pPr>
              <w:pStyle w:val="TableText"/>
              <w:rPr>
                <w:rFonts w:cs="Calibri"/>
              </w:rPr>
            </w:pPr>
            <w:r w:rsidRPr="00A3253C">
              <w:rPr>
                <w:rFonts w:ascii="Arial" w:hAnsi="Arial" w:cs="Arial"/>
                <w:szCs w:val="18"/>
              </w:rPr>
              <w:t>-0.15</w:t>
            </w:r>
          </w:p>
        </w:tc>
      </w:tr>
      <w:tr w:rsidR="009E1D73" w:rsidRPr="00A3253C" w14:paraId="03BB0F96" w14:textId="77777777" w:rsidTr="00341759">
        <w:trPr>
          <w:cnfStyle w:val="000000010000" w:firstRow="0" w:lastRow="0" w:firstColumn="0" w:lastColumn="0" w:oddVBand="0" w:evenVBand="0" w:oddHBand="0" w:evenHBand="1" w:firstRowFirstColumn="0" w:firstRowLastColumn="0" w:lastRowFirstColumn="0" w:lastRowLastColumn="0"/>
          <w:trHeight w:val="263"/>
        </w:trPr>
        <w:tc>
          <w:tcPr>
            <w:tcW w:w="303" w:type="pct"/>
            <w:vAlign w:val="center"/>
            <w:hideMark/>
          </w:tcPr>
          <w:p w14:paraId="114B7E35" w14:textId="386B060B" w:rsidR="009E1D73" w:rsidRPr="00A3253C" w:rsidRDefault="009E1D73" w:rsidP="009E1D73">
            <w:pPr>
              <w:pStyle w:val="TableText"/>
              <w:rPr>
                <w:rFonts w:cs="Calibri"/>
                <w:color w:val="FF0000"/>
              </w:rPr>
            </w:pPr>
            <w:r w:rsidRPr="00A3253C">
              <w:rPr>
                <w:rFonts w:ascii="Arial" w:hAnsi="Arial" w:cs="Arial"/>
                <w:color w:val="FF0000"/>
                <w:szCs w:val="18"/>
              </w:rPr>
              <w:t>▼</w:t>
            </w:r>
          </w:p>
        </w:tc>
        <w:tc>
          <w:tcPr>
            <w:tcW w:w="1461" w:type="pct"/>
            <w:vAlign w:val="center"/>
            <w:hideMark/>
          </w:tcPr>
          <w:p w14:paraId="18356590" w14:textId="505CBFCB" w:rsidR="009E1D73" w:rsidRPr="00A3253C" w:rsidRDefault="009E1D73" w:rsidP="009E1D73">
            <w:pPr>
              <w:pStyle w:val="TableText"/>
              <w:rPr>
                <w:rFonts w:cs="Calibri"/>
              </w:rPr>
            </w:pPr>
            <w:r w:rsidRPr="00A3253C">
              <w:rPr>
                <w:rFonts w:ascii="Arial" w:hAnsi="Arial" w:cs="Arial"/>
                <w:szCs w:val="18"/>
              </w:rPr>
              <w:t>90 Day Bank Bill yield</w:t>
            </w:r>
          </w:p>
        </w:tc>
        <w:tc>
          <w:tcPr>
            <w:tcW w:w="884" w:type="pct"/>
            <w:vAlign w:val="center"/>
            <w:hideMark/>
          </w:tcPr>
          <w:p w14:paraId="53860287" w14:textId="7A3BA954" w:rsidR="009E1D73" w:rsidRPr="00A3253C" w:rsidRDefault="009E1D73" w:rsidP="009E1D73">
            <w:pPr>
              <w:pStyle w:val="TableText"/>
              <w:rPr>
                <w:rFonts w:cs="Calibri"/>
              </w:rPr>
            </w:pPr>
            <w:r w:rsidRPr="00A3253C">
              <w:rPr>
                <w:rFonts w:ascii="Arial" w:hAnsi="Arial" w:cs="Arial"/>
                <w:szCs w:val="18"/>
              </w:rPr>
              <w:t>0.06</w:t>
            </w:r>
          </w:p>
        </w:tc>
        <w:tc>
          <w:tcPr>
            <w:tcW w:w="820" w:type="pct"/>
            <w:vAlign w:val="center"/>
            <w:hideMark/>
          </w:tcPr>
          <w:p w14:paraId="571BDE3E" w14:textId="5BD30DE6" w:rsidR="009E1D73" w:rsidRPr="00A3253C" w:rsidRDefault="009E1D73" w:rsidP="009E1D73">
            <w:pPr>
              <w:pStyle w:val="TableText"/>
              <w:rPr>
                <w:rFonts w:cs="Calibri"/>
              </w:rPr>
            </w:pPr>
            <w:r w:rsidRPr="00A3253C">
              <w:rPr>
                <w:rFonts w:ascii="Arial" w:hAnsi="Arial" w:cs="Arial"/>
                <w:szCs w:val="18"/>
              </w:rPr>
              <w:t>-0.03</w:t>
            </w:r>
          </w:p>
        </w:tc>
        <w:tc>
          <w:tcPr>
            <w:tcW w:w="800" w:type="pct"/>
            <w:vAlign w:val="center"/>
            <w:hideMark/>
          </w:tcPr>
          <w:p w14:paraId="6329CB43" w14:textId="202D1902" w:rsidR="009E1D73" w:rsidRPr="00A3253C" w:rsidRDefault="009E1D73" w:rsidP="009E1D73">
            <w:pPr>
              <w:pStyle w:val="TableText"/>
              <w:rPr>
                <w:rFonts w:cs="Calibri"/>
              </w:rPr>
            </w:pPr>
            <w:r w:rsidRPr="00A3253C">
              <w:rPr>
                <w:rFonts w:ascii="Arial" w:hAnsi="Arial" w:cs="Arial"/>
                <w:szCs w:val="18"/>
              </w:rPr>
              <w:t>0.11</w:t>
            </w:r>
          </w:p>
        </w:tc>
        <w:tc>
          <w:tcPr>
            <w:tcW w:w="732" w:type="pct"/>
            <w:vAlign w:val="center"/>
            <w:hideMark/>
          </w:tcPr>
          <w:p w14:paraId="5567A1E7" w14:textId="1623759B" w:rsidR="009E1D73" w:rsidRPr="00A3253C" w:rsidRDefault="009E1D73" w:rsidP="009E1D73">
            <w:pPr>
              <w:pStyle w:val="TableText"/>
              <w:rPr>
                <w:rFonts w:cs="Calibri"/>
              </w:rPr>
            </w:pPr>
            <w:r w:rsidRPr="00A3253C">
              <w:rPr>
                <w:rFonts w:ascii="Arial" w:hAnsi="Arial" w:cs="Arial"/>
                <w:szCs w:val="18"/>
              </w:rPr>
              <w:t>-0.05</w:t>
            </w:r>
          </w:p>
        </w:tc>
      </w:tr>
      <w:tr w:rsidR="009E1D73" w:rsidRPr="00A3253C" w14:paraId="44B9F1DE" w14:textId="77777777" w:rsidTr="00341759">
        <w:trPr>
          <w:trHeight w:val="263"/>
        </w:trPr>
        <w:tc>
          <w:tcPr>
            <w:tcW w:w="303" w:type="pct"/>
            <w:vAlign w:val="center"/>
          </w:tcPr>
          <w:p w14:paraId="3A5199DA" w14:textId="2572F425" w:rsidR="009E1D73" w:rsidRPr="00A3253C" w:rsidRDefault="009E1D73" w:rsidP="009E1D73">
            <w:pPr>
              <w:pStyle w:val="TableText"/>
              <w:rPr>
                <w:rFonts w:cs="Calibri"/>
                <w:color w:val="00B050"/>
              </w:rPr>
            </w:pPr>
            <w:r w:rsidRPr="00A3253C">
              <w:rPr>
                <w:rFonts w:ascii="Arial" w:hAnsi="Arial" w:cs="Arial"/>
                <w:color w:val="00B050"/>
                <w:szCs w:val="18"/>
              </w:rPr>
              <w:t>▲</w:t>
            </w:r>
          </w:p>
        </w:tc>
        <w:tc>
          <w:tcPr>
            <w:tcW w:w="1461" w:type="pct"/>
            <w:vAlign w:val="center"/>
          </w:tcPr>
          <w:p w14:paraId="6788080D" w14:textId="7855D86F" w:rsidR="009E1D73" w:rsidRPr="00A3253C" w:rsidRDefault="009E1D73" w:rsidP="009E1D73">
            <w:pPr>
              <w:pStyle w:val="TableText"/>
              <w:rPr>
                <w:rFonts w:cs="Calibri"/>
              </w:rPr>
            </w:pPr>
            <w:r w:rsidRPr="00A3253C">
              <w:rPr>
                <w:rFonts w:ascii="Arial" w:hAnsi="Arial" w:cs="Arial"/>
                <w:szCs w:val="18"/>
              </w:rPr>
              <w:t>US 10-year Bond Yield</w:t>
            </w:r>
          </w:p>
        </w:tc>
        <w:tc>
          <w:tcPr>
            <w:tcW w:w="884" w:type="pct"/>
            <w:vAlign w:val="center"/>
          </w:tcPr>
          <w:p w14:paraId="68A9BBFA" w14:textId="5FD7F2E4" w:rsidR="009E1D73" w:rsidRPr="00A3253C" w:rsidRDefault="009E1D73" w:rsidP="009E1D73">
            <w:pPr>
              <w:pStyle w:val="TableText"/>
              <w:rPr>
                <w:rFonts w:cs="Calibri"/>
              </w:rPr>
            </w:pPr>
            <w:r w:rsidRPr="00A3253C">
              <w:rPr>
                <w:rFonts w:ascii="Arial" w:hAnsi="Arial" w:cs="Arial"/>
                <w:szCs w:val="18"/>
              </w:rPr>
              <w:t>0.87</w:t>
            </w:r>
          </w:p>
        </w:tc>
        <w:tc>
          <w:tcPr>
            <w:tcW w:w="820" w:type="pct"/>
            <w:vAlign w:val="center"/>
          </w:tcPr>
          <w:p w14:paraId="529D5D2E" w14:textId="33B074C8" w:rsidR="009E1D73" w:rsidRPr="00A3253C" w:rsidRDefault="009E1D73" w:rsidP="009E1D73">
            <w:pPr>
              <w:pStyle w:val="TableText"/>
              <w:rPr>
                <w:rFonts w:cs="Calibri"/>
              </w:rPr>
            </w:pPr>
            <w:r w:rsidRPr="00A3253C">
              <w:rPr>
                <w:rFonts w:ascii="Arial" w:hAnsi="Arial" w:cs="Arial"/>
                <w:szCs w:val="18"/>
              </w:rPr>
              <w:t>0.19</w:t>
            </w:r>
          </w:p>
        </w:tc>
        <w:tc>
          <w:tcPr>
            <w:tcW w:w="800" w:type="pct"/>
            <w:vAlign w:val="center"/>
          </w:tcPr>
          <w:p w14:paraId="7A0C951C" w14:textId="3D2E6A9E" w:rsidR="009E1D73" w:rsidRPr="00A3253C" w:rsidRDefault="009E1D73" w:rsidP="009E1D73">
            <w:pPr>
              <w:pStyle w:val="TableText"/>
              <w:rPr>
                <w:rFonts w:cs="Calibri"/>
              </w:rPr>
            </w:pPr>
            <w:r w:rsidRPr="00A3253C">
              <w:rPr>
                <w:rFonts w:ascii="Arial" w:hAnsi="Arial" w:cs="Arial"/>
                <w:szCs w:val="18"/>
              </w:rPr>
              <w:t>0.53</w:t>
            </w:r>
          </w:p>
        </w:tc>
        <w:tc>
          <w:tcPr>
            <w:tcW w:w="732" w:type="pct"/>
            <w:vAlign w:val="center"/>
          </w:tcPr>
          <w:p w14:paraId="4FC1467C" w14:textId="474638C3" w:rsidR="009E1D73" w:rsidRPr="00A3253C" w:rsidRDefault="009E1D73" w:rsidP="009E1D73">
            <w:pPr>
              <w:pStyle w:val="TableText"/>
              <w:rPr>
                <w:rFonts w:cs="Calibri"/>
              </w:rPr>
            </w:pPr>
            <w:r w:rsidRPr="00A3253C">
              <w:rPr>
                <w:rFonts w:ascii="Arial" w:hAnsi="Arial" w:cs="Arial"/>
                <w:szCs w:val="18"/>
              </w:rPr>
              <w:t>0.35</w:t>
            </w:r>
          </w:p>
        </w:tc>
      </w:tr>
      <w:tr w:rsidR="009E1D73" w:rsidRPr="00A3253C" w14:paraId="3DFE7B92" w14:textId="77777777" w:rsidTr="00341759">
        <w:trPr>
          <w:cnfStyle w:val="000000010000" w:firstRow="0" w:lastRow="0" w:firstColumn="0" w:lastColumn="0" w:oddVBand="0" w:evenVBand="0" w:oddHBand="0" w:evenHBand="1" w:firstRowFirstColumn="0" w:firstRowLastColumn="0" w:lastRowFirstColumn="0" w:lastRowLastColumn="0"/>
          <w:trHeight w:val="278"/>
        </w:trPr>
        <w:tc>
          <w:tcPr>
            <w:tcW w:w="303" w:type="pct"/>
            <w:vAlign w:val="center"/>
            <w:hideMark/>
          </w:tcPr>
          <w:p w14:paraId="2C809DED" w14:textId="4F221509" w:rsidR="009E1D73" w:rsidRPr="00A3253C" w:rsidRDefault="009E1D73" w:rsidP="009E1D73">
            <w:pPr>
              <w:pStyle w:val="TableText"/>
              <w:rPr>
                <w:rFonts w:cs="Calibri"/>
                <w:color w:val="00B050"/>
              </w:rPr>
            </w:pPr>
            <w:r w:rsidRPr="00A3253C">
              <w:rPr>
                <w:rFonts w:ascii="Arial" w:hAnsi="Arial" w:cs="Arial"/>
                <w:color w:val="00B050"/>
                <w:szCs w:val="18"/>
              </w:rPr>
              <w:t>▲</w:t>
            </w:r>
          </w:p>
        </w:tc>
        <w:tc>
          <w:tcPr>
            <w:tcW w:w="1461" w:type="pct"/>
            <w:vAlign w:val="center"/>
            <w:hideMark/>
          </w:tcPr>
          <w:p w14:paraId="5D37637D" w14:textId="02007CFC" w:rsidR="009E1D73" w:rsidRPr="00A3253C" w:rsidRDefault="009E1D73" w:rsidP="009E1D73">
            <w:pPr>
              <w:pStyle w:val="TableText"/>
              <w:rPr>
                <w:rFonts w:cs="Calibri"/>
              </w:rPr>
            </w:pPr>
            <w:r w:rsidRPr="00A3253C">
              <w:rPr>
                <w:rFonts w:ascii="Arial" w:hAnsi="Arial" w:cs="Arial"/>
                <w:szCs w:val="18"/>
              </w:rPr>
              <w:t>US 3-year Bond Yield</w:t>
            </w:r>
          </w:p>
        </w:tc>
        <w:tc>
          <w:tcPr>
            <w:tcW w:w="884" w:type="pct"/>
            <w:vAlign w:val="center"/>
            <w:hideMark/>
          </w:tcPr>
          <w:p w14:paraId="30F09CCF" w14:textId="6BC6912E" w:rsidR="009E1D73" w:rsidRPr="00A3253C" w:rsidRDefault="009E1D73" w:rsidP="009E1D73">
            <w:pPr>
              <w:pStyle w:val="TableText"/>
              <w:rPr>
                <w:rFonts w:cs="Calibri"/>
              </w:rPr>
            </w:pPr>
            <w:r w:rsidRPr="00A3253C">
              <w:rPr>
                <w:rFonts w:ascii="Arial" w:hAnsi="Arial" w:cs="Arial"/>
                <w:szCs w:val="18"/>
              </w:rPr>
              <w:t>0.20</w:t>
            </w:r>
          </w:p>
        </w:tc>
        <w:tc>
          <w:tcPr>
            <w:tcW w:w="820" w:type="pct"/>
            <w:vAlign w:val="center"/>
            <w:hideMark/>
          </w:tcPr>
          <w:p w14:paraId="19BC8858" w14:textId="49764F84" w:rsidR="009E1D73" w:rsidRPr="00A3253C" w:rsidRDefault="009E1D73" w:rsidP="009E1D73">
            <w:pPr>
              <w:pStyle w:val="TableText"/>
              <w:rPr>
                <w:rFonts w:cs="Calibri"/>
              </w:rPr>
            </w:pPr>
            <w:r w:rsidRPr="00A3253C">
              <w:rPr>
                <w:rFonts w:ascii="Arial" w:hAnsi="Arial" w:cs="Arial"/>
                <w:szCs w:val="18"/>
              </w:rPr>
              <w:t>0.04</w:t>
            </w:r>
          </w:p>
        </w:tc>
        <w:tc>
          <w:tcPr>
            <w:tcW w:w="800" w:type="pct"/>
            <w:vAlign w:val="center"/>
            <w:hideMark/>
          </w:tcPr>
          <w:p w14:paraId="70C754F5" w14:textId="433CF746" w:rsidR="009E1D73" w:rsidRPr="00A3253C" w:rsidRDefault="009E1D73" w:rsidP="009E1D73">
            <w:pPr>
              <w:pStyle w:val="TableText"/>
              <w:rPr>
                <w:rFonts w:cs="Calibri"/>
              </w:rPr>
            </w:pPr>
            <w:r w:rsidRPr="00A3253C">
              <w:rPr>
                <w:rFonts w:ascii="Arial" w:hAnsi="Arial" w:cs="Arial"/>
                <w:szCs w:val="18"/>
              </w:rPr>
              <w:t>0.11</w:t>
            </w:r>
          </w:p>
        </w:tc>
        <w:tc>
          <w:tcPr>
            <w:tcW w:w="732" w:type="pct"/>
            <w:vAlign w:val="center"/>
            <w:hideMark/>
          </w:tcPr>
          <w:p w14:paraId="2A1335AA" w14:textId="0086894D" w:rsidR="009E1D73" w:rsidRPr="00A3253C" w:rsidRDefault="009E1D73" w:rsidP="009E1D73">
            <w:pPr>
              <w:pStyle w:val="TableText"/>
              <w:rPr>
                <w:rFonts w:cs="Calibri"/>
              </w:rPr>
            </w:pPr>
            <w:r w:rsidRPr="00A3253C">
              <w:rPr>
                <w:rFonts w:ascii="Arial" w:hAnsi="Arial" w:cs="Arial"/>
                <w:szCs w:val="18"/>
              </w:rPr>
              <w:t>0.08</w:t>
            </w:r>
          </w:p>
        </w:tc>
      </w:tr>
      <w:tr w:rsidR="009E1D73" w:rsidRPr="00A3253C" w14:paraId="6552990B" w14:textId="77777777" w:rsidTr="00341759">
        <w:trPr>
          <w:trHeight w:val="278"/>
        </w:trPr>
        <w:tc>
          <w:tcPr>
            <w:tcW w:w="303" w:type="pct"/>
            <w:vAlign w:val="center"/>
          </w:tcPr>
          <w:p w14:paraId="66D76E72" w14:textId="00985DC1" w:rsidR="009E1D73" w:rsidRPr="00A3253C" w:rsidRDefault="009E1D73" w:rsidP="009E1D73">
            <w:pPr>
              <w:pStyle w:val="TableText"/>
              <w:rPr>
                <w:rFonts w:cs="Calibri"/>
                <w:color w:val="FF0000"/>
              </w:rPr>
            </w:pPr>
            <w:r w:rsidRPr="00A3253C">
              <w:rPr>
                <w:rFonts w:ascii="Arial" w:hAnsi="Arial" w:cs="Arial"/>
                <w:color w:val="FF0000"/>
                <w:szCs w:val="18"/>
              </w:rPr>
              <w:t>▼</w:t>
            </w:r>
          </w:p>
        </w:tc>
        <w:tc>
          <w:tcPr>
            <w:tcW w:w="1461" w:type="pct"/>
            <w:vAlign w:val="center"/>
          </w:tcPr>
          <w:p w14:paraId="71B50685" w14:textId="7F796B44" w:rsidR="009E1D73" w:rsidRPr="00A3253C" w:rsidRDefault="009E1D73" w:rsidP="009E1D73">
            <w:pPr>
              <w:pStyle w:val="TableText"/>
              <w:rPr>
                <w:rFonts w:cs="Calibri"/>
              </w:rPr>
            </w:pPr>
            <w:r w:rsidRPr="00A3253C">
              <w:rPr>
                <w:rFonts w:ascii="Arial" w:hAnsi="Arial" w:cs="Arial"/>
                <w:szCs w:val="18"/>
              </w:rPr>
              <w:t>US Investment Grade spread</w:t>
            </w:r>
          </w:p>
        </w:tc>
        <w:tc>
          <w:tcPr>
            <w:tcW w:w="884" w:type="pct"/>
            <w:vAlign w:val="center"/>
          </w:tcPr>
          <w:p w14:paraId="48C806DD" w14:textId="70D6E2A2" w:rsidR="009E1D73" w:rsidRPr="00A3253C" w:rsidRDefault="009E1D73" w:rsidP="009E1D73">
            <w:pPr>
              <w:pStyle w:val="TableText"/>
              <w:rPr>
                <w:rFonts w:cs="Calibri"/>
              </w:rPr>
            </w:pPr>
            <w:r w:rsidRPr="00A3253C">
              <w:rPr>
                <w:rFonts w:ascii="Arial" w:hAnsi="Arial" w:cs="Arial"/>
                <w:szCs w:val="18"/>
              </w:rPr>
              <w:t>1.41</w:t>
            </w:r>
          </w:p>
        </w:tc>
        <w:tc>
          <w:tcPr>
            <w:tcW w:w="820" w:type="pct"/>
            <w:vAlign w:val="center"/>
          </w:tcPr>
          <w:p w14:paraId="3CBC3184" w14:textId="587F0CD2" w:rsidR="009E1D73" w:rsidRPr="00A3253C" w:rsidRDefault="009E1D73" w:rsidP="009E1D73">
            <w:pPr>
              <w:pStyle w:val="TableText"/>
              <w:rPr>
                <w:rFonts w:cs="Calibri"/>
              </w:rPr>
            </w:pPr>
            <w:r w:rsidRPr="00A3253C">
              <w:rPr>
                <w:rFonts w:ascii="Arial" w:hAnsi="Arial" w:cs="Arial"/>
                <w:szCs w:val="18"/>
              </w:rPr>
              <w:t>-0.11</w:t>
            </w:r>
          </w:p>
        </w:tc>
        <w:tc>
          <w:tcPr>
            <w:tcW w:w="800" w:type="pct"/>
            <w:vAlign w:val="center"/>
          </w:tcPr>
          <w:p w14:paraId="1AC457A4" w14:textId="4958C0A5" w:rsidR="009E1D73" w:rsidRPr="00A3253C" w:rsidRDefault="009E1D73" w:rsidP="009E1D73">
            <w:pPr>
              <w:pStyle w:val="TableText"/>
              <w:rPr>
                <w:rFonts w:cs="Calibri"/>
              </w:rPr>
            </w:pPr>
            <w:r w:rsidRPr="00A3253C">
              <w:rPr>
                <w:rFonts w:ascii="Arial" w:hAnsi="Arial" w:cs="Arial"/>
                <w:szCs w:val="18"/>
              </w:rPr>
              <w:t>1.46</w:t>
            </w:r>
          </w:p>
        </w:tc>
        <w:tc>
          <w:tcPr>
            <w:tcW w:w="732" w:type="pct"/>
            <w:vAlign w:val="center"/>
          </w:tcPr>
          <w:p w14:paraId="7962FB60" w14:textId="66DB7F4B" w:rsidR="009E1D73" w:rsidRPr="00A3253C" w:rsidRDefault="009E1D73" w:rsidP="009E1D73">
            <w:pPr>
              <w:pStyle w:val="TableText"/>
              <w:rPr>
                <w:rFonts w:cs="Calibri"/>
              </w:rPr>
            </w:pPr>
            <w:r w:rsidRPr="00A3253C">
              <w:rPr>
                <w:rFonts w:ascii="Arial" w:hAnsi="Arial" w:cs="Arial"/>
                <w:szCs w:val="18"/>
              </w:rPr>
              <w:t>-0.05</w:t>
            </w:r>
          </w:p>
        </w:tc>
      </w:tr>
      <w:tr w:rsidR="009E1D73" w:rsidRPr="00A3253C" w14:paraId="277C270C" w14:textId="77777777" w:rsidTr="00341759">
        <w:trPr>
          <w:cnfStyle w:val="000000010000" w:firstRow="0" w:lastRow="0" w:firstColumn="0" w:lastColumn="0" w:oddVBand="0" w:evenVBand="0" w:oddHBand="0" w:evenHBand="1" w:firstRowFirstColumn="0" w:firstRowLastColumn="0" w:lastRowFirstColumn="0" w:lastRowLastColumn="0"/>
          <w:trHeight w:val="278"/>
        </w:trPr>
        <w:tc>
          <w:tcPr>
            <w:tcW w:w="303" w:type="pct"/>
            <w:vAlign w:val="center"/>
          </w:tcPr>
          <w:p w14:paraId="2CC62EE9" w14:textId="19BE085A" w:rsidR="009E1D73" w:rsidRPr="00A3253C" w:rsidRDefault="009E1D73" w:rsidP="009E1D73">
            <w:pPr>
              <w:pStyle w:val="TableText"/>
              <w:rPr>
                <w:rFonts w:cs="Calibri"/>
                <w:color w:val="FF0000"/>
              </w:rPr>
            </w:pPr>
            <w:r w:rsidRPr="00A3253C">
              <w:rPr>
                <w:rFonts w:ascii="Arial" w:hAnsi="Arial" w:cs="Arial"/>
                <w:color w:val="FF0000"/>
                <w:szCs w:val="18"/>
              </w:rPr>
              <w:t>▼</w:t>
            </w:r>
          </w:p>
        </w:tc>
        <w:tc>
          <w:tcPr>
            <w:tcW w:w="1461" w:type="pct"/>
            <w:vAlign w:val="center"/>
          </w:tcPr>
          <w:p w14:paraId="4A027A69" w14:textId="52BBCBAC" w:rsidR="009E1D73" w:rsidRPr="00A3253C" w:rsidRDefault="009E1D73" w:rsidP="009E1D73">
            <w:pPr>
              <w:pStyle w:val="TableText"/>
              <w:rPr>
                <w:rFonts w:cs="Calibri"/>
              </w:rPr>
            </w:pPr>
            <w:r w:rsidRPr="00A3253C">
              <w:rPr>
                <w:rFonts w:ascii="Arial" w:hAnsi="Arial" w:cs="Arial"/>
                <w:szCs w:val="18"/>
              </w:rPr>
              <w:t>US High Yield spread</w:t>
            </w:r>
          </w:p>
        </w:tc>
        <w:tc>
          <w:tcPr>
            <w:tcW w:w="884" w:type="pct"/>
            <w:vAlign w:val="center"/>
          </w:tcPr>
          <w:p w14:paraId="5C1ED8D9" w14:textId="41A056EE" w:rsidR="009E1D73" w:rsidRPr="00A3253C" w:rsidRDefault="009E1D73" w:rsidP="009E1D73">
            <w:pPr>
              <w:pStyle w:val="TableText"/>
              <w:rPr>
                <w:rFonts w:cs="Calibri"/>
              </w:rPr>
            </w:pPr>
            <w:r w:rsidRPr="00A3253C">
              <w:rPr>
                <w:rFonts w:ascii="Arial" w:hAnsi="Arial" w:cs="Arial"/>
                <w:szCs w:val="18"/>
              </w:rPr>
              <w:t>4.91</w:t>
            </w:r>
          </w:p>
        </w:tc>
        <w:tc>
          <w:tcPr>
            <w:tcW w:w="820" w:type="pct"/>
            <w:vAlign w:val="center"/>
          </w:tcPr>
          <w:p w14:paraId="2671DA58" w14:textId="3FDA13D6" w:rsidR="009E1D73" w:rsidRPr="00A3253C" w:rsidRDefault="009E1D73" w:rsidP="009E1D73">
            <w:pPr>
              <w:pStyle w:val="TableText"/>
              <w:rPr>
                <w:rFonts w:cs="Calibri"/>
              </w:rPr>
            </w:pPr>
            <w:r w:rsidRPr="00A3253C">
              <w:rPr>
                <w:rFonts w:ascii="Arial" w:hAnsi="Arial" w:cs="Arial"/>
                <w:szCs w:val="18"/>
              </w:rPr>
              <w:t>-0.17</w:t>
            </w:r>
          </w:p>
        </w:tc>
        <w:tc>
          <w:tcPr>
            <w:tcW w:w="800" w:type="pct"/>
            <w:vAlign w:val="center"/>
          </w:tcPr>
          <w:p w14:paraId="78D22FD1" w14:textId="719F91F1" w:rsidR="009E1D73" w:rsidRPr="00A3253C" w:rsidRDefault="009E1D73" w:rsidP="009E1D73">
            <w:pPr>
              <w:pStyle w:val="TableText"/>
              <w:rPr>
                <w:rFonts w:cs="Calibri"/>
              </w:rPr>
            </w:pPr>
            <w:r w:rsidRPr="00A3253C">
              <w:rPr>
                <w:rFonts w:ascii="Arial" w:hAnsi="Arial" w:cs="Arial"/>
                <w:szCs w:val="18"/>
              </w:rPr>
              <w:t>4.84</w:t>
            </w:r>
          </w:p>
        </w:tc>
        <w:tc>
          <w:tcPr>
            <w:tcW w:w="732" w:type="pct"/>
            <w:vAlign w:val="center"/>
          </w:tcPr>
          <w:p w14:paraId="32815A90" w14:textId="75E50B0D" w:rsidR="009E1D73" w:rsidRPr="00A3253C" w:rsidRDefault="009E1D73" w:rsidP="009E1D73">
            <w:pPr>
              <w:pStyle w:val="TableText"/>
              <w:rPr>
                <w:rFonts w:cs="Calibri"/>
              </w:rPr>
            </w:pPr>
            <w:r w:rsidRPr="00A3253C">
              <w:rPr>
                <w:rFonts w:ascii="Arial" w:hAnsi="Arial" w:cs="Arial"/>
                <w:szCs w:val="18"/>
              </w:rPr>
              <w:t>0.07</w:t>
            </w:r>
          </w:p>
        </w:tc>
      </w:tr>
    </w:tbl>
    <w:p w14:paraId="77EF2A19" w14:textId="77777777" w:rsidR="00E85F3F" w:rsidRPr="00A3253C" w:rsidRDefault="00E85F3F" w:rsidP="00E85F3F">
      <w:pPr>
        <w:pStyle w:val="Disclaimer"/>
      </w:pPr>
      <w:r w:rsidRPr="00A3253C">
        <w:t>Source: Bloomberg, IOOF</w:t>
      </w:r>
    </w:p>
    <w:p w14:paraId="4D323E66" w14:textId="77777777" w:rsidR="00E06B70" w:rsidRPr="00A3253C" w:rsidRDefault="00E06B70" w:rsidP="00243AA4">
      <w:pPr>
        <w:pStyle w:val="Heading3"/>
      </w:pPr>
      <w:r w:rsidRPr="00A3253C">
        <w:t>Australian bond market</w:t>
      </w:r>
    </w:p>
    <w:p w14:paraId="675DEB6C" w14:textId="3DA83391" w:rsidR="008635AF" w:rsidRPr="00A3253C" w:rsidRDefault="00E06B70" w:rsidP="00243AA4">
      <w:pPr>
        <w:pStyle w:val="BodyText"/>
      </w:pPr>
      <w:r w:rsidRPr="00A3253C">
        <w:t xml:space="preserve">The Australian yield curve </w:t>
      </w:r>
      <w:r w:rsidR="00526455" w:rsidRPr="00A3253C">
        <w:t>steepened slightly during October but was largely unchanged across most of the term structure</w:t>
      </w:r>
      <w:r w:rsidR="008635AF" w:rsidRPr="00A3253C">
        <w:t xml:space="preserve"> (different years of maturity)</w:t>
      </w:r>
      <w:r w:rsidRPr="00A3253C">
        <w:t xml:space="preserve">. </w:t>
      </w:r>
    </w:p>
    <w:p w14:paraId="191D6FDE" w14:textId="70DB9313" w:rsidR="008635AF" w:rsidRPr="00A3253C" w:rsidRDefault="00E811A7" w:rsidP="008635AF">
      <w:pPr>
        <w:pStyle w:val="Heading5"/>
      </w:pPr>
      <w:r w:rsidRPr="00A3253C">
        <w:t>5</w:t>
      </w:r>
      <w:r w:rsidR="008635AF" w:rsidRPr="00A3253C">
        <w:t>. Australian yield curve changes to October 2020</w:t>
      </w:r>
    </w:p>
    <w:p w14:paraId="19596521" w14:textId="77777777" w:rsidR="008635AF" w:rsidRPr="00A3253C" w:rsidRDefault="008635AF" w:rsidP="008635AF">
      <w:pPr>
        <w:pStyle w:val="BodyText"/>
      </w:pPr>
      <w:r w:rsidRPr="00A3253C">
        <w:t xml:space="preserve"> </w:t>
      </w:r>
      <w:r w:rsidRPr="00A3253C">
        <w:rPr>
          <w:noProof/>
        </w:rPr>
        <w:drawing>
          <wp:inline distT="0" distB="0" distL="0" distR="0" wp14:anchorId="15894F6C" wp14:editId="4FB8B10F">
            <wp:extent cx="3059430" cy="167894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9430" cy="1678940"/>
                    </a:xfrm>
                    <a:prstGeom prst="rect">
                      <a:avLst/>
                    </a:prstGeom>
                    <a:noFill/>
                    <a:ln>
                      <a:noFill/>
                    </a:ln>
                  </pic:spPr>
                </pic:pic>
              </a:graphicData>
            </a:graphic>
          </wp:inline>
        </w:drawing>
      </w:r>
    </w:p>
    <w:p w14:paraId="3F97B50A" w14:textId="77777777" w:rsidR="004F2A13" w:rsidRPr="00A3253C" w:rsidRDefault="00E06B70" w:rsidP="00243AA4">
      <w:pPr>
        <w:pStyle w:val="BodyText"/>
      </w:pPr>
      <w:r w:rsidRPr="00A3253C">
        <w:t xml:space="preserve">This reflected </w:t>
      </w:r>
      <w:r w:rsidR="00526455" w:rsidRPr="00A3253C">
        <w:t xml:space="preserve">increased speculation of another RBA rate cut </w:t>
      </w:r>
      <w:r w:rsidR="006E3BCC" w:rsidRPr="00A3253C">
        <w:t>which was subsequently delivered on 3 November, leaving the cash rate at 0.10%. In addition, the RBA announced additional bond purchases</w:t>
      </w:r>
      <w:r w:rsidR="004F2A13" w:rsidRPr="00A3253C">
        <w:t xml:space="preserve"> to the tune of $100bn</w:t>
      </w:r>
      <w:r w:rsidR="006E3BCC" w:rsidRPr="00A3253C">
        <w:t xml:space="preserve"> in a bid to lower longer-term borrowing costs and </w:t>
      </w:r>
      <w:r w:rsidR="004F2A13" w:rsidRPr="00A3253C">
        <w:t xml:space="preserve">separately purchases would be made to </w:t>
      </w:r>
      <w:r w:rsidR="006E3BCC" w:rsidRPr="00A3253C">
        <w:t xml:space="preserve">maintain its (now) lower target for the 3-year bond yield of 0.1%.  </w:t>
      </w:r>
      <w:r w:rsidRPr="00A3253C">
        <w:t xml:space="preserve"> </w:t>
      </w:r>
    </w:p>
    <w:p w14:paraId="28224AB5" w14:textId="1C8F46B1" w:rsidR="008635AF" w:rsidRPr="00A3253C" w:rsidRDefault="008635AF" w:rsidP="00243AA4">
      <w:pPr>
        <w:pStyle w:val="BodyText"/>
      </w:pPr>
      <w:r w:rsidRPr="00A3253C">
        <w:t>Who wins from the latest RBA changes?</w:t>
      </w:r>
    </w:p>
    <w:p w14:paraId="1D331E89" w14:textId="3EDB51FB" w:rsidR="008635AF" w:rsidRPr="00A3253C" w:rsidRDefault="008635AF" w:rsidP="008635AF">
      <w:pPr>
        <w:pStyle w:val="ListBullet"/>
      </w:pPr>
      <w:r w:rsidRPr="00A3253C">
        <w:t>State and Federal governments will gain from lower borrowing costs which will support the sizeable budget deficits in the years ahead.</w:t>
      </w:r>
    </w:p>
    <w:p w14:paraId="7EE4D050" w14:textId="3198FDE2" w:rsidR="008635AF" w:rsidRPr="00A3253C" w:rsidRDefault="008635AF" w:rsidP="008635AF">
      <w:pPr>
        <w:pStyle w:val="ListBullet"/>
      </w:pPr>
      <w:r w:rsidRPr="00A3253C">
        <w:t>Borrowers benefit, to the extent that banks, pass on lower mortgage rates (this has mainly been done by changing fixed rate offers).</w:t>
      </w:r>
    </w:p>
    <w:p w14:paraId="5D102B9A" w14:textId="6BB9B2B6" w:rsidR="008635AF" w:rsidRPr="00A3253C" w:rsidRDefault="008635AF" w:rsidP="008635AF">
      <w:pPr>
        <w:pStyle w:val="ListBullet"/>
      </w:pPr>
      <w:r w:rsidRPr="00A3253C">
        <w:t>Australian exporters should benefit, is the theory, from a lower Australian dollar as the RBA policy removes bonds and adds dollars from markets while the rate cut makes our dollar less attractive to speculators (because they now earn a lower interest rate on it).</w:t>
      </w:r>
    </w:p>
    <w:p w14:paraId="1664799C" w14:textId="48D3832E" w:rsidR="00E06B70" w:rsidRPr="00A3253C" w:rsidRDefault="008635AF" w:rsidP="008635AF">
      <w:pPr>
        <w:pStyle w:val="ListBullet"/>
        <w:numPr>
          <w:ilvl w:val="0"/>
          <w:numId w:val="0"/>
        </w:numPr>
      </w:pPr>
      <w:r w:rsidRPr="00A3253C">
        <w:t xml:space="preserve">As noted in prior updates, these moves exacerbate the pain for savers </w:t>
      </w:r>
      <w:r w:rsidR="00E06B70" w:rsidRPr="00A3253C">
        <w:t xml:space="preserve">with shorter-term cash accounts and </w:t>
      </w:r>
      <w:r w:rsidRPr="00A3253C">
        <w:t xml:space="preserve">even some </w:t>
      </w:r>
      <w:r w:rsidR="00E06B70" w:rsidRPr="00A3253C">
        <w:t>term deposits offering negative</w:t>
      </w:r>
      <w:r w:rsidRPr="00A3253C">
        <w:t xml:space="preserve"> real</w:t>
      </w:r>
      <w:r w:rsidR="00E06B70" w:rsidRPr="00A3253C">
        <w:t xml:space="preserve"> (after-inflation) </w:t>
      </w:r>
      <w:r w:rsidRPr="00A3253C">
        <w:t>interest rates</w:t>
      </w:r>
      <w:r w:rsidR="00E06B70" w:rsidRPr="00A3253C">
        <w:t>.</w:t>
      </w:r>
      <w:r w:rsidRPr="00A3253C">
        <w:t xml:space="preserve"> </w:t>
      </w:r>
      <w:r w:rsidR="00E06B70" w:rsidRPr="00A3253C">
        <w:t xml:space="preserve"> </w:t>
      </w:r>
    </w:p>
    <w:p w14:paraId="516CB1AC" w14:textId="77777777" w:rsidR="00E06B70" w:rsidRPr="00A3253C" w:rsidRDefault="00E06B70" w:rsidP="00243AA4">
      <w:pPr>
        <w:pStyle w:val="Heading3"/>
      </w:pPr>
      <w:r w:rsidRPr="00A3253C">
        <w:t>US bond market</w:t>
      </w:r>
    </w:p>
    <w:p w14:paraId="569954DD" w14:textId="0A544C2A" w:rsidR="008635AF" w:rsidRPr="00A3253C" w:rsidRDefault="00E06B70" w:rsidP="00243AA4">
      <w:pPr>
        <w:pStyle w:val="BodyText"/>
      </w:pPr>
      <w:r w:rsidRPr="00A3253C">
        <w:t xml:space="preserve">US Treasury yields </w:t>
      </w:r>
      <w:r w:rsidR="008635AF" w:rsidRPr="00A3253C">
        <w:t>rose during October particularly for longer-dated bonds. This reflected strong US economic data with solid labour market reports and continued strength in the manufacturing sector despite a rise in coronavirus cases as the country headed into winter (when economic growth is typically weaker</w:t>
      </w:r>
      <w:r w:rsidR="007D2764" w:rsidRPr="00A3253C">
        <w:t>)</w:t>
      </w:r>
      <w:r w:rsidR="008635AF" w:rsidRPr="00A3253C">
        <w:t xml:space="preserve">. </w:t>
      </w:r>
    </w:p>
    <w:p w14:paraId="7371B1F4" w14:textId="2AAEEEE8" w:rsidR="00E06B70" w:rsidRPr="00A3253C" w:rsidRDefault="00E811A7" w:rsidP="00243AA4">
      <w:pPr>
        <w:pStyle w:val="Heading5"/>
      </w:pPr>
      <w:r w:rsidRPr="00A3253C">
        <w:t>6</w:t>
      </w:r>
      <w:r w:rsidR="00E06B70" w:rsidRPr="00A3253C">
        <w:t xml:space="preserve">. US yield curve movement to </w:t>
      </w:r>
      <w:r w:rsidR="009F5CC4" w:rsidRPr="00A3253C">
        <w:t>October</w:t>
      </w:r>
      <w:r w:rsidR="00E06B70" w:rsidRPr="00A3253C">
        <w:t xml:space="preserve"> 2020</w:t>
      </w:r>
    </w:p>
    <w:p w14:paraId="6BC4DF7D" w14:textId="75D06FEE" w:rsidR="00E06B70" w:rsidRPr="00A3253C" w:rsidRDefault="00A005B6" w:rsidP="00243AA4">
      <w:pPr>
        <w:pStyle w:val="BodyText"/>
      </w:pPr>
      <w:r w:rsidRPr="00A3253C">
        <w:rPr>
          <w:noProof/>
        </w:rPr>
        <w:drawing>
          <wp:inline distT="0" distB="0" distL="0" distR="0" wp14:anchorId="5EE86EF5" wp14:editId="698F2AAB">
            <wp:extent cx="3059430" cy="168021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9430" cy="1680210"/>
                    </a:xfrm>
                    <a:prstGeom prst="rect">
                      <a:avLst/>
                    </a:prstGeom>
                    <a:noFill/>
                    <a:ln>
                      <a:noFill/>
                    </a:ln>
                  </pic:spPr>
                </pic:pic>
              </a:graphicData>
            </a:graphic>
          </wp:inline>
        </w:drawing>
      </w:r>
    </w:p>
    <w:p w14:paraId="6898F547" w14:textId="1AF065E9" w:rsidR="008635AF" w:rsidRPr="00A3253C" w:rsidRDefault="008635AF" w:rsidP="00CB469E">
      <w:pPr>
        <w:pStyle w:val="BodyText"/>
      </w:pPr>
      <w:r w:rsidRPr="00A3253C">
        <w:t xml:space="preserve">US credit spreads </w:t>
      </w:r>
      <w:r w:rsidR="007D2764" w:rsidRPr="00A3253C">
        <w:t>fell</w:t>
      </w:r>
      <w:r w:rsidRPr="00A3253C">
        <w:t xml:space="preserve"> during the month </w:t>
      </w:r>
      <w:r w:rsidR="007D2764" w:rsidRPr="00A3253C">
        <w:t>in contrast</w:t>
      </w:r>
      <w:r w:rsidRPr="00A3253C">
        <w:t xml:space="preserve"> with the weakness seen in equity markets. </w:t>
      </w:r>
      <w:r w:rsidR="007D2764" w:rsidRPr="00A3253C">
        <w:t>This reflects continued improvement in economic data notwithstanding additional coronavirus cases with less concern over corporate bankruptcy risk by investors.</w:t>
      </w:r>
    </w:p>
    <w:p w14:paraId="3BB77020" w14:textId="3954B6FF" w:rsidR="00E06B70" w:rsidRPr="00A3253C" w:rsidRDefault="008635AF" w:rsidP="00CB469E">
      <w:pPr>
        <w:pStyle w:val="BodyText"/>
      </w:pPr>
      <w:r w:rsidRPr="00A3253C">
        <w:t>We expect the surge in coronavirus cases to weigh on both the growth and inflation outlook in the near term, supporting bond returns. However new developments on the vaccine front by a Pfizer joint venture suggest</w:t>
      </w:r>
      <w:r w:rsidR="004F2A13" w:rsidRPr="00A3253C">
        <w:t xml:space="preserve"> we </w:t>
      </w:r>
      <w:r w:rsidR="00D016AE">
        <w:t>could be</w:t>
      </w:r>
      <w:r w:rsidR="004F2A13" w:rsidRPr="00A3253C">
        <w:t xml:space="preserve"> closer to</w:t>
      </w:r>
      <w:r w:rsidRPr="00A3253C">
        <w:t xml:space="preserve"> the end of the pandemic</w:t>
      </w:r>
      <w:r w:rsidR="004F2A13" w:rsidRPr="00A3253C">
        <w:t xml:space="preserve">. Further news flow here </w:t>
      </w:r>
      <w:r w:rsidR="00D016AE">
        <w:t>h</w:t>
      </w:r>
      <w:r w:rsidR="004F2A13" w:rsidRPr="00A3253C">
        <w:t>as the potential to trigger a violent market reaction as it did on 9 November.</w:t>
      </w:r>
    </w:p>
    <w:p w14:paraId="7C5A4168" w14:textId="2AB40084" w:rsidR="00E85F3F" w:rsidRPr="00A3253C" w:rsidRDefault="00E85F3F" w:rsidP="00E85F3F">
      <w:pPr>
        <w:pStyle w:val="Heading2"/>
      </w:pPr>
      <w:r w:rsidRPr="00A3253C">
        <w:br w:type="column"/>
      </w:r>
      <w:r w:rsidR="00014935" w:rsidRPr="00A3253C">
        <w:lastRenderedPageBreak/>
        <w:t>C</w:t>
      </w:r>
      <w:r w:rsidR="00E06B70" w:rsidRPr="00A3253C">
        <w:t>urrencies</w:t>
      </w:r>
    </w:p>
    <w:tbl>
      <w:tblPr>
        <w:tblStyle w:val="TableIOOF"/>
        <w:tblW w:w="5000" w:type="pct"/>
        <w:jc w:val="center"/>
        <w:tblLayout w:type="fixed"/>
        <w:tblLook w:val="04A0" w:firstRow="1" w:lastRow="0" w:firstColumn="1" w:lastColumn="0" w:noHBand="0" w:noVBand="1"/>
      </w:tblPr>
      <w:tblGrid>
        <w:gridCol w:w="425"/>
        <w:gridCol w:w="1134"/>
        <w:gridCol w:w="708"/>
        <w:gridCol w:w="993"/>
        <w:gridCol w:w="708"/>
        <w:gridCol w:w="844"/>
      </w:tblGrid>
      <w:tr w:rsidR="00021043" w:rsidRPr="00A3253C" w14:paraId="064A67E3" w14:textId="77777777" w:rsidTr="007D2764">
        <w:trPr>
          <w:cnfStyle w:val="100000000000" w:firstRow="1" w:lastRow="0" w:firstColumn="0" w:lastColumn="0" w:oddVBand="0" w:evenVBand="0" w:oddHBand="0" w:evenHBand="0" w:firstRowFirstColumn="0" w:firstRowLastColumn="0" w:lastRowFirstColumn="0" w:lastRowLastColumn="0"/>
          <w:jc w:val="center"/>
        </w:trPr>
        <w:tc>
          <w:tcPr>
            <w:tcW w:w="1619" w:type="pct"/>
            <w:gridSpan w:val="2"/>
            <w:vAlign w:val="center"/>
          </w:tcPr>
          <w:p w14:paraId="6269BE5E" w14:textId="39DD9010" w:rsidR="00021043" w:rsidRPr="00A3253C" w:rsidRDefault="00021043" w:rsidP="00F77277">
            <w:pPr>
              <w:pStyle w:val="TableHeading"/>
              <w:jc w:val="center"/>
            </w:pPr>
            <w:r w:rsidRPr="00A3253C">
              <w:t>Currencies</w:t>
            </w:r>
          </w:p>
        </w:tc>
        <w:tc>
          <w:tcPr>
            <w:tcW w:w="736" w:type="pct"/>
          </w:tcPr>
          <w:p w14:paraId="0DB903ED" w14:textId="50E5B10B" w:rsidR="00021043" w:rsidRPr="00A3253C" w:rsidRDefault="00021043" w:rsidP="00F77277">
            <w:pPr>
              <w:pStyle w:val="TableHeading"/>
              <w:jc w:val="center"/>
            </w:pPr>
            <w:r w:rsidRPr="00A3253C">
              <w:t>Oct-20 Price</w:t>
            </w:r>
          </w:p>
        </w:tc>
        <w:tc>
          <w:tcPr>
            <w:tcW w:w="1032" w:type="pct"/>
          </w:tcPr>
          <w:p w14:paraId="0DD86488" w14:textId="08EBBBA8" w:rsidR="00021043" w:rsidRPr="00A3253C" w:rsidRDefault="00021043" w:rsidP="00F77277">
            <w:pPr>
              <w:pStyle w:val="TableHeading"/>
              <w:jc w:val="center"/>
            </w:pPr>
            <w:r w:rsidRPr="00A3253C">
              <w:t>1M return (%)</w:t>
            </w:r>
          </w:p>
        </w:tc>
        <w:tc>
          <w:tcPr>
            <w:tcW w:w="736" w:type="pct"/>
          </w:tcPr>
          <w:p w14:paraId="4195692F" w14:textId="0348C835" w:rsidR="00021043" w:rsidRPr="00A3253C" w:rsidRDefault="00021043" w:rsidP="00F77277">
            <w:pPr>
              <w:pStyle w:val="TableHeading"/>
              <w:jc w:val="center"/>
            </w:pPr>
            <w:r w:rsidRPr="00A3253C">
              <w:t>Jul-20 Price</w:t>
            </w:r>
          </w:p>
        </w:tc>
        <w:tc>
          <w:tcPr>
            <w:tcW w:w="878" w:type="pct"/>
          </w:tcPr>
          <w:p w14:paraId="1BF0F742" w14:textId="07322AA9" w:rsidR="00021043" w:rsidRPr="00A3253C" w:rsidRDefault="00021043" w:rsidP="00F77277">
            <w:pPr>
              <w:pStyle w:val="TableHeading"/>
              <w:jc w:val="center"/>
            </w:pPr>
            <w:r w:rsidRPr="00A3253C">
              <w:t>3M return (%)</w:t>
            </w:r>
          </w:p>
        </w:tc>
      </w:tr>
      <w:tr w:rsidR="007D2764" w:rsidRPr="00A3253C" w14:paraId="7DA1A42A" w14:textId="77777777" w:rsidTr="007D2764">
        <w:trPr>
          <w:jc w:val="center"/>
        </w:trPr>
        <w:tc>
          <w:tcPr>
            <w:tcW w:w="441" w:type="pct"/>
            <w:vAlign w:val="center"/>
          </w:tcPr>
          <w:p w14:paraId="6F8018D3" w14:textId="13BAE4A9"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20453AAF" w14:textId="33211598" w:rsidR="007D2764" w:rsidRPr="00A3253C" w:rsidRDefault="007D2764" w:rsidP="007D2764">
            <w:pPr>
              <w:pStyle w:val="TableText"/>
              <w:rPr>
                <w:sz w:val="16"/>
                <w:szCs w:val="16"/>
              </w:rPr>
            </w:pPr>
            <w:r w:rsidRPr="00A3253C">
              <w:rPr>
                <w:rFonts w:ascii="Arial" w:hAnsi="Arial" w:cs="Arial"/>
                <w:sz w:val="16"/>
                <w:szCs w:val="16"/>
              </w:rPr>
              <w:t>$A vs $US</w:t>
            </w:r>
          </w:p>
        </w:tc>
        <w:tc>
          <w:tcPr>
            <w:tcW w:w="736" w:type="pct"/>
            <w:vAlign w:val="center"/>
          </w:tcPr>
          <w:p w14:paraId="1AE911EF" w14:textId="7E3B814A" w:rsidR="007D2764" w:rsidRPr="00A3253C" w:rsidRDefault="007D2764" w:rsidP="007D2764">
            <w:pPr>
              <w:pStyle w:val="TableText"/>
              <w:rPr>
                <w:sz w:val="16"/>
                <w:szCs w:val="16"/>
              </w:rPr>
            </w:pPr>
            <w:r w:rsidRPr="00A3253C">
              <w:rPr>
                <w:rFonts w:ascii="Arial" w:hAnsi="Arial" w:cs="Arial"/>
                <w:sz w:val="16"/>
                <w:szCs w:val="16"/>
              </w:rPr>
              <w:t>70.28</w:t>
            </w:r>
          </w:p>
        </w:tc>
        <w:tc>
          <w:tcPr>
            <w:tcW w:w="1032" w:type="pct"/>
            <w:vAlign w:val="center"/>
          </w:tcPr>
          <w:p w14:paraId="7A61C6CD" w14:textId="4F2D0D61" w:rsidR="007D2764" w:rsidRPr="00A3253C" w:rsidRDefault="007D2764" w:rsidP="007D2764">
            <w:pPr>
              <w:pStyle w:val="TableText"/>
              <w:rPr>
                <w:sz w:val="16"/>
                <w:szCs w:val="16"/>
              </w:rPr>
            </w:pPr>
            <w:r w:rsidRPr="00A3253C">
              <w:rPr>
                <w:rFonts w:ascii="Arial" w:hAnsi="Arial" w:cs="Arial"/>
                <w:sz w:val="16"/>
                <w:szCs w:val="16"/>
              </w:rPr>
              <w:t>-1.87</w:t>
            </w:r>
          </w:p>
        </w:tc>
        <w:tc>
          <w:tcPr>
            <w:tcW w:w="736" w:type="pct"/>
            <w:vAlign w:val="center"/>
          </w:tcPr>
          <w:p w14:paraId="1414A388" w14:textId="23BE67AC" w:rsidR="007D2764" w:rsidRPr="00A3253C" w:rsidRDefault="007D2764" w:rsidP="007D2764">
            <w:pPr>
              <w:pStyle w:val="TableText"/>
              <w:rPr>
                <w:sz w:val="16"/>
                <w:szCs w:val="16"/>
              </w:rPr>
            </w:pPr>
            <w:r w:rsidRPr="00A3253C">
              <w:rPr>
                <w:rFonts w:ascii="Arial" w:hAnsi="Arial" w:cs="Arial"/>
                <w:sz w:val="16"/>
                <w:szCs w:val="16"/>
              </w:rPr>
              <w:t>71.43</w:t>
            </w:r>
          </w:p>
        </w:tc>
        <w:tc>
          <w:tcPr>
            <w:tcW w:w="878" w:type="pct"/>
            <w:vAlign w:val="center"/>
          </w:tcPr>
          <w:p w14:paraId="76D25206" w14:textId="2EDE672A" w:rsidR="007D2764" w:rsidRPr="00A3253C" w:rsidRDefault="007D2764" w:rsidP="007D2764">
            <w:pPr>
              <w:pStyle w:val="TableText"/>
              <w:rPr>
                <w:sz w:val="16"/>
                <w:szCs w:val="16"/>
              </w:rPr>
            </w:pPr>
            <w:r w:rsidRPr="00A3253C">
              <w:rPr>
                <w:rFonts w:ascii="Arial" w:hAnsi="Arial" w:cs="Arial"/>
                <w:sz w:val="16"/>
                <w:szCs w:val="16"/>
              </w:rPr>
              <w:t>-1.61</w:t>
            </w:r>
          </w:p>
        </w:tc>
      </w:tr>
      <w:tr w:rsidR="007D2764" w:rsidRPr="00A3253C" w14:paraId="5C5375C6" w14:textId="77777777" w:rsidTr="007D2764">
        <w:trPr>
          <w:cnfStyle w:val="000000010000" w:firstRow="0" w:lastRow="0" w:firstColumn="0" w:lastColumn="0" w:oddVBand="0" w:evenVBand="0" w:oddHBand="0" w:evenHBand="1" w:firstRowFirstColumn="0" w:firstRowLastColumn="0" w:lastRowFirstColumn="0" w:lastRowLastColumn="0"/>
          <w:trHeight w:val="18"/>
          <w:jc w:val="center"/>
        </w:trPr>
        <w:tc>
          <w:tcPr>
            <w:tcW w:w="441" w:type="pct"/>
            <w:vAlign w:val="center"/>
          </w:tcPr>
          <w:p w14:paraId="3D23E65B" w14:textId="1BDFF24A"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2548F7B8" w14:textId="41FA966E" w:rsidR="007D2764" w:rsidRPr="00A3253C" w:rsidRDefault="007D2764" w:rsidP="007D2764">
            <w:pPr>
              <w:pStyle w:val="TableText"/>
              <w:rPr>
                <w:sz w:val="16"/>
                <w:szCs w:val="16"/>
              </w:rPr>
            </w:pPr>
            <w:r w:rsidRPr="00A3253C">
              <w:rPr>
                <w:rFonts w:ascii="Arial" w:hAnsi="Arial" w:cs="Arial"/>
                <w:sz w:val="16"/>
                <w:szCs w:val="16"/>
              </w:rPr>
              <w:t>$A vs GBP</w:t>
            </w:r>
          </w:p>
        </w:tc>
        <w:tc>
          <w:tcPr>
            <w:tcW w:w="736" w:type="pct"/>
            <w:vAlign w:val="center"/>
          </w:tcPr>
          <w:p w14:paraId="7B540C55" w14:textId="06BE7EDB" w:rsidR="007D2764" w:rsidRPr="00A3253C" w:rsidRDefault="007D2764" w:rsidP="007D2764">
            <w:pPr>
              <w:pStyle w:val="TableText"/>
              <w:rPr>
                <w:sz w:val="16"/>
                <w:szCs w:val="16"/>
              </w:rPr>
            </w:pPr>
            <w:r w:rsidRPr="00A3253C">
              <w:rPr>
                <w:rFonts w:ascii="Arial" w:hAnsi="Arial" w:cs="Arial"/>
                <w:sz w:val="16"/>
                <w:szCs w:val="16"/>
              </w:rPr>
              <w:t>54.27</w:t>
            </w:r>
          </w:p>
        </w:tc>
        <w:tc>
          <w:tcPr>
            <w:tcW w:w="1032" w:type="pct"/>
            <w:vAlign w:val="center"/>
          </w:tcPr>
          <w:p w14:paraId="626A0573" w14:textId="2F14511D" w:rsidR="007D2764" w:rsidRPr="00A3253C" w:rsidRDefault="007D2764" w:rsidP="007D2764">
            <w:pPr>
              <w:pStyle w:val="TableText"/>
              <w:rPr>
                <w:sz w:val="16"/>
                <w:szCs w:val="16"/>
              </w:rPr>
            </w:pPr>
            <w:r w:rsidRPr="00A3253C">
              <w:rPr>
                <w:rFonts w:ascii="Arial" w:hAnsi="Arial" w:cs="Arial"/>
                <w:sz w:val="16"/>
                <w:szCs w:val="16"/>
              </w:rPr>
              <w:t>-2.11</w:t>
            </w:r>
          </w:p>
        </w:tc>
        <w:tc>
          <w:tcPr>
            <w:tcW w:w="736" w:type="pct"/>
            <w:vAlign w:val="center"/>
          </w:tcPr>
          <w:p w14:paraId="185FEE43" w14:textId="5FDDE1B5" w:rsidR="007D2764" w:rsidRPr="00A3253C" w:rsidRDefault="007D2764" w:rsidP="007D2764">
            <w:pPr>
              <w:pStyle w:val="TableText"/>
              <w:rPr>
                <w:sz w:val="16"/>
                <w:szCs w:val="16"/>
              </w:rPr>
            </w:pPr>
            <w:r w:rsidRPr="00A3253C">
              <w:rPr>
                <w:rFonts w:ascii="Arial" w:hAnsi="Arial" w:cs="Arial"/>
                <w:sz w:val="16"/>
                <w:szCs w:val="16"/>
              </w:rPr>
              <w:t>54.59</w:t>
            </w:r>
          </w:p>
        </w:tc>
        <w:tc>
          <w:tcPr>
            <w:tcW w:w="878" w:type="pct"/>
            <w:vAlign w:val="center"/>
          </w:tcPr>
          <w:p w14:paraId="33443FE1" w14:textId="5AFD365F" w:rsidR="007D2764" w:rsidRPr="00A3253C" w:rsidRDefault="007D2764" w:rsidP="007D2764">
            <w:pPr>
              <w:pStyle w:val="TableText"/>
              <w:rPr>
                <w:sz w:val="16"/>
                <w:szCs w:val="16"/>
              </w:rPr>
            </w:pPr>
            <w:r w:rsidRPr="00A3253C">
              <w:rPr>
                <w:rFonts w:ascii="Arial" w:hAnsi="Arial" w:cs="Arial"/>
                <w:sz w:val="16"/>
                <w:szCs w:val="16"/>
              </w:rPr>
              <w:t>-0.59</w:t>
            </w:r>
          </w:p>
        </w:tc>
      </w:tr>
      <w:tr w:rsidR="007D2764" w:rsidRPr="00A3253C" w14:paraId="5CBD3864" w14:textId="77777777" w:rsidTr="007D2764">
        <w:trPr>
          <w:jc w:val="center"/>
        </w:trPr>
        <w:tc>
          <w:tcPr>
            <w:tcW w:w="441" w:type="pct"/>
            <w:vAlign w:val="center"/>
          </w:tcPr>
          <w:p w14:paraId="08DA215F" w14:textId="2818CD62"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333EF754" w14:textId="440DAB59" w:rsidR="007D2764" w:rsidRPr="00A3253C" w:rsidRDefault="007D2764" w:rsidP="007D2764">
            <w:pPr>
              <w:pStyle w:val="TableText"/>
              <w:rPr>
                <w:sz w:val="16"/>
                <w:szCs w:val="16"/>
              </w:rPr>
            </w:pPr>
            <w:r w:rsidRPr="00A3253C">
              <w:rPr>
                <w:rFonts w:ascii="Arial" w:hAnsi="Arial" w:cs="Arial"/>
                <w:sz w:val="16"/>
                <w:szCs w:val="16"/>
              </w:rPr>
              <w:t>$A vs YEN</w:t>
            </w:r>
          </w:p>
        </w:tc>
        <w:tc>
          <w:tcPr>
            <w:tcW w:w="736" w:type="pct"/>
            <w:vAlign w:val="center"/>
          </w:tcPr>
          <w:p w14:paraId="11A325BD" w14:textId="73DEC390" w:rsidR="007D2764" w:rsidRPr="00A3253C" w:rsidRDefault="007D2764" w:rsidP="007D2764">
            <w:pPr>
              <w:pStyle w:val="TableText"/>
              <w:rPr>
                <w:sz w:val="16"/>
                <w:szCs w:val="16"/>
              </w:rPr>
            </w:pPr>
            <w:r w:rsidRPr="00A3253C">
              <w:rPr>
                <w:rFonts w:ascii="Arial" w:hAnsi="Arial" w:cs="Arial"/>
                <w:sz w:val="16"/>
                <w:szCs w:val="16"/>
              </w:rPr>
              <w:t>73.56</w:t>
            </w:r>
          </w:p>
        </w:tc>
        <w:tc>
          <w:tcPr>
            <w:tcW w:w="1032" w:type="pct"/>
            <w:vAlign w:val="center"/>
          </w:tcPr>
          <w:p w14:paraId="3AEB7D6E" w14:textId="0660EEE0" w:rsidR="007D2764" w:rsidRPr="00A3253C" w:rsidRDefault="007D2764" w:rsidP="007D2764">
            <w:pPr>
              <w:pStyle w:val="TableText"/>
              <w:rPr>
                <w:sz w:val="16"/>
                <w:szCs w:val="16"/>
              </w:rPr>
            </w:pPr>
            <w:r w:rsidRPr="00A3253C">
              <w:rPr>
                <w:rFonts w:ascii="Arial" w:hAnsi="Arial" w:cs="Arial"/>
                <w:sz w:val="16"/>
                <w:szCs w:val="16"/>
              </w:rPr>
              <w:t>-2.63</w:t>
            </w:r>
          </w:p>
        </w:tc>
        <w:tc>
          <w:tcPr>
            <w:tcW w:w="736" w:type="pct"/>
            <w:vAlign w:val="center"/>
          </w:tcPr>
          <w:p w14:paraId="7737C085" w14:textId="7CEDAE7A" w:rsidR="007D2764" w:rsidRPr="00A3253C" w:rsidRDefault="007D2764" w:rsidP="007D2764">
            <w:pPr>
              <w:pStyle w:val="TableText"/>
              <w:rPr>
                <w:sz w:val="16"/>
                <w:szCs w:val="16"/>
              </w:rPr>
            </w:pPr>
            <w:r w:rsidRPr="00A3253C">
              <w:rPr>
                <w:rFonts w:ascii="Arial" w:hAnsi="Arial" w:cs="Arial"/>
                <w:sz w:val="16"/>
                <w:szCs w:val="16"/>
              </w:rPr>
              <w:t>75.59</w:t>
            </w:r>
          </w:p>
        </w:tc>
        <w:tc>
          <w:tcPr>
            <w:tcW w:w="878" w:type="pct"/>
            <w:vAlign w:val="center"/>
          </w:tcPr>
          <w:p w14:paraId="30E1AD2C" w14:textId="7A562277" w:rsidR="007D2764" w:rsidRPr="00A3253C" w:rsidRDefault="007D2764" w:rsidP="007D2764">
            <w:pPr>
              <w:pStyle w:val="TableText"/>
              <w:rPr>
                <w:sz w:val="16"/>
                <w:szCs w:val="16"/>
              </w:rPr>
            </w:pPr>
            <w:r w:rsidRPr="00A3253C">
              <w:rPr>
                <w:rFonts w:ascii="Arial" w:hAnsi="Arial" w:cs="Arial"/>
                <w:sz w:val="16"/>
                <w:szCs w:val="16"/>
              </w:rPr>
              <w:t>-2.68</w:t>
            </w:r>
          </w:p>
        </w:tc>
      </w:tr>
      <w:tr w:rsidR="007D2764" w:rsidRPr="00A3253C" w14:paraId="6144AC85" w14:textId="77777777" w:rsidTr="007D2764">
        <w:trPr>
          <w:cnfStyle w:val="000000010000" w:firstRow="0" w:lastRow="0" w:firstColumn="0" w:lastColumn="0" w:oddVBand="0" w:evenVBand="0" w:oddHBand="0" w:evenHBand="1" w:firstRowFirstColumn="0" w:firstRowLastColumn="0" w:lastRowFirstColumn="0" w:lastRowLastColumn="0"/>
          <w:jc w:val="center"/>
        </w:trPr>
        <w:tc>
          <w:tcPr>
            <w:tcW w:w="441" w:type="pct"/>
            <w:vAlign w:val="center"/>
          </w:tcPr>
          <w:p w14:paraId="62293223" w14:textId="07F7D1B3"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61755270" w14:textId="7A7CA1D6" w:rsidR="007D2764" w:rsidRPr="00A3253C" w:rsidRDefault="007D2764" w:rsidP="007D2764">
            <w:pPr>
              <w:pStyle w:val="TableText"/>
              <w:rPr>
                <w:sz w:val="16"/>
                <w:szCs w:val="16"/>
              </w:rPr>
            </w:pPr>
            <w:r w:rsidRPr="00A3253C">
              <w:rPr>
                <w:rFonts w:ascii="Arial" w:hAnsi="Arial" w:cs="Arial"/>
                <w:sz w:val="16"/>
                <w:szCs w:val="16"/>
              </w:rPr>
              <w:t>$A vs EUR</w:t>
            </w:r>
          </w:p>
        </w:tc>
        <w:tc>
          <w:tcPr>
            <w:tcW w:w="736" w:type="pct"/>
            <w:vAlign w:val="center"/>
          </w:tcPr>
          <w:p w14:paraId="6CE877D7" w14:textId="77F61548" w:rsidR="007D2764" w:rsidRPr="00A3253C" w:rsidRDefault="007D2764" w:rsidP="007D2764">
            <w:pPr>
              <w:pStyle w:val="TableText"/>
              <w:rPr>
                <w:sz w:val="16"/>
                <w:szCs w:val="16"/>
              </w:rPr>
            </w:pPr>
            <w:r w:rsidRPr="00A3253C">
              <w:rPr>
                <w:rFonts w:ascii="Arial" w:hAnsi="Arial" w:cs="Arial"/>
                <w:sz w:val="16"/>
                <w:szCs w:val="16"/>
              </w:rPr>
              <w:t>60.35</w:t>
            </w:r>
          </w:p>
        </w:tc>
        <w:tc>
          <w:tcPr>
            <w:tcW w:w="1032" w:type="pct"/>
            <w:vAlign w:val="center"/>
          </w:tcPr>
          <w:p w14:paraId="2D4A5530" w14:textId="03B49746" w:rsidR="007D2764" w:rsidRPr="00A3253C" w:rsidRDefault="007D2764" w:rsidP="007D2764">
            <w:pPr>
              <w:pStyle w:val="TableText"/>
              <w:rPr>
                <w:sz w:val="16"/>
                <w:szCs w:val="16"/>
              </w:rPr>
            </w:pPr>
            <w:r w:rsidRPr="00A3253C">
              <w:rPr>
                <w:rFonts w:ascii="Arial" w:hAnsi="Arial" w:cs="Arial"/>
                <w:sz w:val="16"/>
                <w:szCs w:val="16"/>
              </w:rPr>
              <w:t>-1.24</w:t>
            </w:r>
          </w:p>
        </w:tc>
        <w:tc>
          <w:tcPr>
            <w:tcW w:w="736" w:type="pct"/>
            <w:vAlign w:val="center"/>
          </w:tcPr>
          <w:p w14:paraId="17B2E370" w14:textId="48523CD7" w:rsidR="007D2764" w:rsidRPr="00A3253C" w:rsidRDefault="007D2764" w:rsidP="007D2764">
            <w:pPr>
              <w:pStyle w:val="TableText"/>
              <w:rPr>
                <w:sz w:val="16"/>
                <w:szCs w:val="16"/>
              </w:rPr>
            </w:pPr>
            <w:r w:rsidRPr="00A3253C">
              <w:rPr>
                <w:rFonts w:ascii="Arial" w:hAnsi="Arial" w:cs="Arial"/>
                <w:sz w:val="16"/>
                <w:szCs w:val="16"/>
              </w:rPr>
              <w:t>60.65</w:t>
            </w:r>
          </w:p>
        </w:tc>
        <w:tc>
          <w:tcPr>
            <w:tcW w:w="878" w:type="pct"/>
            <w:vAlign w:val="center"/>
          </w:tcPr>
          <w:p w14:paraId="44CC00BA" w14:textId="710F9AC3" w:rsidR="007D2764" w:rsidRPr="00A3253C" w:rsidRDefault="007D2764" w:rsidP="007D2764">
            <w:pPr>
              <w:pStyle w:val="TableText"/>
              <w:rPr>
                <w:sz w:val="16"/>
                <w:szCs w:val="16"/>
              </w:rPr>
            </w:pPr>
            <w:r w:rsidRPr="00A3253C">
              <w:rPr>
                <w:rFonts w:ascii="Arial" w:hAnsi="Arial" w:cs="Arial"/>
                <w:sz w:val="16"/>
                <w:szCs w:val="16"/>
              </w:rPr>
              <w:t>-0.49</w:t>
            </w:r>
          </w:p>
        </w:tc>
      </w:tr>
      <w:tr w:rsidR="007D2764" w:rsidRPr="00A3253C" w14:paraId="0F0BE516" w14:textId="77777777" w:rsidTr="007D2764">
        <w:trPr>
          <w:jc w:val="center"/>
        </w:trPr>
        <w:tc>
          <w:tcPr>
            <w:tcW w:w="441" w:type="pct"/>
            <w:vAlign w:val="center"/>
          </w:tcPr>
          <w:p w14:paraId="229B5910" w14:textId="696369A4"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3CB4801F" w14:textId="03BD3EC9" w:rsidR="007D2764" w:rsidRPr="00A3253C" w:rsidRDefault="007D2764" w:rsidP="007D2764">
            <w:pPr>
              <w:pStyle w:val="TableText"/>
              <w:rPr>
                <w:sz w:val="16"/>
                <w:szCs w:val="16"/>
              </w:rPr>
            </w:pPr>
            <w:r w:rsidRPr="00A3253C">
              <w:rPr>
                <w:rFonts w:ascii="Arial" w:hAnsi="Arial" w:cs="Arial"/>
                <w:sz w:val="16"/>
                <w:szCs w:val="16"/>
              </w:rPr>
              <w:t>$A vs $NZ</w:t>
            </w:r>
          </w:p>
        </w:tc>
        <w:tc>
          <w:tcPr>
            <w:tcW w:w="736" w:type="pct"/>
            <w:vAlign w:val="center"/>
          </w:tcPr>
          <w:p w14:paraId="73A3FFC6" w14:textId="3B082AE6" w:rsidR="007D2764" w:rsidRPr="00A3253C" w:rsidRDefault="007D2764" w:rsidP="007D2764">
            <w:pPr>
              <w:pStyle w:val="TableText"/>
              <w:rPr>
                <w:sz w:val="16"/>
                <w:szCs w:val="16"/>
              </w:rPr>
            </w:pPr>
            <w:r w:rsidRPr="00A3253C">
              <w:rPr>
                <w:rFonts w:ascii="Arial" w:hAnsi="Arial" w:cs="Arial"/>
                <w:sz w:val="16"/>
                <w:szCs w:val="16"/>
              </w:rPr>
              <w:t>106.25</w:t>
            </w:r>
          </w:p>
        </w:tc>
        <w:tc>
          <w:tcPr>
            <w:tcW w:w="1032" w:type="pct"/>
            <w:vAlign w:val="center"/>
          </w:tcPr>
          <w:p w14:paraId="759838F3" w14:textId="36C066BF" w:rsidR="007D2764" w:rsidRPr="00A3253C" w:rsidRDefault="007D2764" w:rsidP="007D2764">
            <w:pPr>
              <w:pStyle w:val="TableText"/>
              <w:rPr>
                <w:sz w:val="16"/>
                <w:szCs w:val="16"/>
              </w:rPr>
            </w:pPr>
            <w:r w:rsidRPr="00A3253C">
              <w:rPr>
                <w:rFonts w:ascii="Arial" w:hAnsi="Arial" w:cs="Arial"/>
                <w:sz w:val="16"/>
                <w:szCs w:val="16"/>
              </w:rPr>
              <w:t>-1.86</w:t>
            </w:r>
          </w:p>
        </w:tc>
        <w:tc>
          <w:tcPr>
            <w:tcW w:w="736" w:type="pct"/>
            <w:vAlign w:val="center"/>
          </w:tcPr>
          <w:p w14:paraId="6BCDC360" w14:textId="404472BB" w:rsidR="007D2764" w:rsidRPr="00A3253C" w:rsidRDefault="007D2764" w:rsidP="007D2764">
            <w:pPr>
              <w:pStyle w:val="TableText"/>
              <w:rPr>
                <w:sz w:val="16"/>
                <w:szCs w:val="16"/>
              </w:rPr>
            </w:pPr>
            <w:r w:rsidRPr="00A3253C">
              <w:rPr>
                <w:rFonts w:ascii="Arial" w:hAnsi="Arial" w:cs="Arial"/>
                <w:sz w:val="16"/>
                <w:szCs w:val="16"/>
              </w:rPr>
              <w:t>107.75</w:t>
            </w:r>
          </w:p>
        </w:tc>
        <w:tc>
          <w:tcPr>
            <w:tcW w:w="878" w:type="pct"/>
            <w:vAlign w:val="center"/>
          </w:tcPr>
          <w:p w14:paraId="4FCD38E1" w14:textId="145B95BF" w:rsidR="007D2764" w:rsidRPr="00A3253C" w:rsidRDefault="007D2764" w:rsidP="007D2764">
            <w:pPr>
              <w:pStyle w:val="TableText"/>
              <w:rPr>
                <w:sz w:val="16"/>
                <w:szCs w:val="16"/>
              </w:rPr>
            </w:pPr>
            <w:r w:rsidRPr="00A3253C">
              <w:rPr>
                <w:rFonts w:ascii="Arial" w:hAnsi="Arial" w:cs="Arial"/>
                <w:sz w:val="16"/>
                <w:szCs w:val="16"/>
              </w:rPr>
              <w:t>-1.39</w:t>
            </w:r>
          </w:p>
        </w:tc>
      </w:tr>
      <w:tr w:rsidR="007D2764" w:rsidRPr="00A3253C" w14:paraId="2952922A" w14:textId="77777777" w:rsidTr="007D2764">
        <w:trPr>
          <w:cnfStyle w:val="000000010000" w:firstRow="0" w:lastRow="0" w:firstColumn="0" w:lastColumn="0" w:oddVBand="0" w:evenVBand="0" w:oddHBand="0" w:evenHBand="1" w:firstRowFirstColumn="0" w:firstRowLastColumn="0" w:lastRowFirstColumn="0" w:lastRowLastColumn="0"/>
          <w:jc w:val="center"/>
        </w:trPr>
        <w:tc>
          <w:tcPr>
            <w:tcW w:w="441" w:type="pct"/>
            <w:vAlign w:val="center"/>
          </w:tcPr>
          <w:p w14:paraId="56602C32" w14:textId="5E9EFE75"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428C64A3" w14:textId="274CFB28" w:rsidR="007D2764" w:rsidRPr="00A3253C" w:rsidRDefault="007D2764" w:rsidP="007D2764">
            <w:pPr>
              <w:pStyle w:val="TableText"/>
              <w:rPr>
                <w:sz w:val="16"/>
                <w:szCs w:val="16"/>
              </w:rPr>
            </w:pPr>
            <w:r w:rsidRPr="00A3253C">
              <w:rPr>
                <w:rFonts w:ascii="Arial" w:hAnsi="Arial" w:cs="Arial"/>
                <w:sz w:val="16"/>
                <w:szCs w:val="16"/>
              </w:rPr>
              <w:t>$A TWI</w:t>
            </w:r>
          </w:p>
        </w:tc>
        <w:tc>
          <w:tcPr>
            <w:tcW w:w="736" w:type="pct"/>
            <w:vAlign w:val="center"/>
          </w:tcPr>
          <w:p w14:paraId="1EFD9F54" w14:textId="32845C08" w:rsidR="007D2764" w:rsidRPr="00A3253C" w:rsidRDefault="007D2764" w:rsidP="007D2764">
            <w:pPr>
              <w:pStyle w:val="TableText"/>
              <w:rPr>
                <w:sz w:val="16"/>
                <w:szCs w:val="16"/>
              </w:rPr>
            </w:pPr>
            <w:r w:rsidRPr="00A3253C">
              <w:rPr>
                <w:rFonts w:ascii="Arial" w:hAnsi="Arial" w:cs="Arial"/>
                <w:sz w:val="16"/>
                <w:szCs w:val="16"/>
              </w:rPr>
              <w:t>59.50</w:t>
            </w:r>
          </w:p>
        </w:tc>
        <w:tc>
          <w:tcPr>
            <w:tcW w:w="1032" w:type="pct"/>
            <w:vAlign w:val="center"/>
          </w:tcPr>
          <w:p w14:paraId="02D61264" w14:textId="0729B400" w:rsidR="007D2764" w:rsidRPr="00A3253C" w:rsidRDefault="007D2764" w:rsidP="007D2764">
            <w:pPr>
              <w:pStyle w:val="TableText"/>
              <w:rPr>
                <w:sz w:val="16"/>
                <w:szCs w:val="16"/>
              </w:rPr>
            </w:pPr>
            <w:r w:rsidRPr="00A3253C">
              <w:rPr>
                <w:rFonts w:ascii="Arial" w:hAnsi="Arial" w:cs="Arial"/>
                <w:sz w:val="16"/>
                <w:szCs w:val="16"/>
              </w:rPr>
              <w:t>-1.98</w:t>
            </w:r>
          </w:p>
        </w:tc>
        <w:tc>
          <w:tcPr>
            <w:tcW w:w="736" w:type="pct"/>
            <w:vAlign w:val="center"/>
          </w:tcPr>
          <w:p w14:paraId="698C34A2" w14:textId="04F0CC04" w:rsidR="007D2764" w:rsidRPr="00A3253C" w:rsidRDefault="007D2764" w:rsidP="007D2764">
            <w:pPr>
              <w:pStyle w:val="TableText"/>
              <w:rPr>
                <w:sz w:val="16"/>
                <w:szCs w:val="16"/>
              </w:rPr>
            </w:pPr>
            <w:r w:rsidRPr="00A3253C">
              <w:rPr>
                <w:rFonts w:ascii="Arial" w:hAnsi="Arial" w:cs="Arial"/>
                <w:sz w:val="16"/>
                <w:szCs w:val="16"/>
              </w:rPr>
              <w:t>61.90</w:t>
            </w:r>
          </w:p>
        </w:tc>
        <w:tc>
          <w:tcPr>
            <w:tcW w:w="878" w:type="pct"/>
            <w:vAlign w:val="center"/>
          </w:tcPr>
          <w:p w14:paraId="42CC0E6F" w14:textId="449A3CE4" w:rsidR="007D2764" w:rsidRPr="00A3253C" w:rsidRDefault="007D2764" w:rsidP="007D2764">
            <w:pPr>
              <w:pStyle w:val="TableText"/>
              <w:rPr>
                <w:sz w:val="16"/>
                <w:szCs w:val="16"/>
              </w:rPr>
            </w:pPr>
            <w:r w:rsidRPr="00A3253C">
              <w:rPr>
                <w:rFonts w:ascii="Arial" w:hAnsi="Arial" w:cs="Arial"/>
                <w:sz w:val="16"/>
                <w:szCs w:val="16"/>
              </w:rPr>
              <w:t>-3.88</w:t>
            </w:r>
          </w:p>
        </w:tc>
      </w:tr>
      <w:tr w:rsidR="007D2764" w:rsidRPr="00A3253C" w14:paraId="07D120DB" w14:textId="77777777" w:rsidTr="007D2764">
        <w:trPr>
          <w:jc w:val="center"/>
        </w:trPr>
        <w:tc>
          <w:tcPr>
            <w:tcW w:w="441" w:type="pct"/>
            <w:vAlign w:val="center"/>
          </w:tcPr>
          <w:p w14:paraId="5FBE26EE" w14:textId="750FC39A" w:rsidR="007D2764" w:rsidRPr="00A3253C" w:rsidRDefault="007D2764" w:rsidP="007D2764">
            <w:pPr>
              <w:pStyle w:val="TableText"/>
            </w:pPr>
            <w:r w:rsidRPr="00A3253C">
              <w:rPr>
                <w:rFonts w:ascii="Arial" w:hAnsi="Arial" w:cs="Arial"/>
                <w:color w:val="00B050"/>
                <w:sz w:val="16"/>
                <w:szCs w:val="16"/>
              </w:rPr>
              <w:t>▲</w:t>
            </w:r>
          </w:p>
        </w:tc>
        <w:tc>
          <w:tcPr>
            <w:tcW w:w="1178" w:type="pct"/>
            <w:vAlign w:val="center"/>
          </w:tcPr>
          <w:p w14:paraId="1CE851DA" w14:textId="5891842D" w:rsidR="007D2764" w:rsidRPr="00A3253C" w:rsidRDefault="007D2764" w:rsidP="007D2764">
            <w:pPr>
              <w:pStyle w:val="TableText"/>
              <w:rPr>
                <w:sz w:val="16"/>
                <w:szCs w:val="16"/>
              </w:rPr>
            </w:pPr>
            <w:r w:rsidRPr="00A3253C">
              <w:rPr>
                <w:rFonts w:ascii="Arial" w:hAnsi="Arial" w:cs="Arial"/>
                <w:sz w:val="16"/>
                <w:szCs w:val="16"/>
              </w:rPr>
              <w:t>$US vs EUR</w:t>
            </w:r>
          </w:p>
        </w:tc>
        <w:tc>
          <w:tcPr>
            <w:tcW w:w="736" w:type="pct"/>
            <w:vAlign w:val="center"/>
          </w:tcPr>
          <w:p w14:paraId="1798E66C" w14:textId="4F0C5862" w:rsidR="007D2764" w:rsidRPr="00A3253C" w:rsidRDefault="007D2764" w:rsidP="007D2764">
            <w:pPr>
              <w:pStyle w:val="TableText"/>
              <w:rPr>
                <w:sz w:val="16"/>
                <w:szCs w:val="16"/>
              </w:rPr>
            </w:pPr>
            <w:r w:rsidRPr="00A3253C">
              <w:rPr>
                <w:rFonts w:ascii="Arial" w:hAnsi="Arial" w:cs="Arial"/>
                <w:sz w:val="16"/>
                <w:szCs w:val="16"/>
              </w:rPr>
              <w:t>85.86</w:t>
            </w:r>
          </w:p>
        </w:tc>
        <w:tc>
          <w:tcPr>
            <w:tcW w:w="1032" w:type="pct"/>
            <w:vAlign w:val="center"/>
          </w:tcPr>
          <w:p w14:paraId="5FCC88FC" w14:textId="626DC314" w:rsidR="007D2764" w:rsidRPr="00A3253C" w:rsidRDefault="007D2764" w:rsidP="007D2764">
            <w:pPr>
              <w:pStyle w:val="TableText"/>
              <w:rPr>
                <w:sz w:val="16"/>
                <w:szCs w:val="16"/>
              </w:rPr>
            </w:pPr>
            <w:r w:rsidRPr="00A3253C">
              <w:rPr>
                <w:rFonts w:ascii="Arial" w:hAnsi="Arial" w:cs="Arial"/>
                <w:sz w:val="16"/>
                <w:szCs w:val="16"/>
              </w:rPr>
              <w:t>0.63</w:t>
            </w:r>
          </w:p>
        </w:tc>
        <w:tc>
          <w:tcPr>
            <w:tcW w:w="736" w:type="pct"/>
            <w:vAlign w:val="center"/>
          </w:tcPr>
          <w:p w14:paraId="44B01DE3" w14:textId="1D1E9494" w:rsidR="007D2764" w:rsidRPr="00A3253C" w:rsidRDefault="007D2764" w:rsidP="007D2764">
            <w:pPr>
              <w:pStyle w:val="TableText"/>
              <w:rPr>
                <w:sz w:val="16"/>
                <w:szCs w:val="16"/>
              </w:rPr>
            </w:pPr>
            <w:r w:rsidRPr="00A3253C">
              <w:rPr>
                <w:rFonts w:ascii="Arial" w:hAnsi="Arial" w:cs="Arial"/>
                <w:sz w:val="16"/>
                <w:szCs w:val="16"/>
              </w:rPr>
              <w:t>84.90</w:t>
            </w:r>
          </w:p>
        </w:tc>
        <w:tc>
          <w:tcPr>
            <w:tcW w:w="878" w:type="pct"/>
            <w:vAlign w:val="center"/>
          </w:tcPr>
          <w:p w14:paraId="33776E59" w14:textId="04959D59" w:rsidR="007D2764" w:rsidRPr="00A3253C" w:rsidRDefault="007D2764" w:rsidP="007D2764">
            <w:pPr>
              <w:pStyle w:val="TableText"/>
              <w:rPr>
                <w:sz w:val="16"/>
                <w:szCs w:val="16"/>
              </w:rPr>
            </w:pPr>
            <w:r w:rsidRPr="00A3253C">
              <w:rPr>
                <w:rFonts w:ascii="Arial" w:hAnsi="Arial" w:cs="Arial"/>
                <w:sz w:val="16"/>
                <w:szCs w:val="16"/>
              </w:rPr>
              <w:t>1.13</w:t>
            </w:r>
          </w:p>
        </w:tc>
      </w:tr>
      <w:tr w:rsidR="007D2764" w:rsidRPr="00A3253C" w14:paraId="43556FFF" w14:textId="77777777" w:rsidTr="007D2764">
        <w:trPr>
          <w:cnfStyle w:val="000000010000" w:firstRow="0" w:lastRow="0" w:firstColumn="0" w:lastColumn="0" w:oddVBand="0" w:evenVBand="0" w:oddHBand="0" w:evenHBand="1" w:firstRowFirstColumn="0" w:firstRowLastColumn="0" w:lastRowFirstColumn="0" w:lastRowLastColumn="0"/>
          <w:jc w:val="center"/>
        </w:trPr>
        <w:tc>
          <w:tcPr>
            <w:tcW w:w="441" w:type="pct"/>
            <w:vAlign w:val="center"/>
          </w:tcPr>
          <w:p w14:paraId="7CE620D6" w14:textId="03BCD0D7"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2386A330" w14:textId="2842EA87" w:rsidR="007D2764" w:rsidRPr="00A3253C" w:rsidRDefault="007D2764" w:rsidP="007D2764">
            <w:pPr>
              <w:pStyle w:val="TableText"/>
              <w:rPr>
                <w:sz w:val="16"/>
                <w:szCs w:val="16"/>
              </w:rPr>
            </w:pPr>
            <w:r w:rsidRPr="00A3253C">
              <w:rPr>
                <w:rFonts w:ascii="Arial" w:hAnsi="Arial" w:cs="Arial"/>
                <w:sz w:val="16"/>
                <w:szCs w:val="16"/>
              </w:rPr>
              <w:t>$US vs CNY</w:t>
            </w:r>
          </w:p>
        </w:tc>
        <w:tc>
          <w:tcPr>
            <w:tcW w:w="736" w:type="pct"/>
            <w:vAlign w:val="center"/>
          </w:tcPr>
          <w:p w14:paraId="7F2F1C36" w14:textId="78B02B2F" w:rsidR="007D2764" w:rsidRPr="00A3253C" w:rsidRDefault="007D2764" w:rsidP="007D2764">
            <w:pPr>
              <w:pStyle w:val="TableText"/>
              <w:rPr>
                <w:sz w:val="16"/>
                <w:szCs w:val="16"/>
              </w:rPr>
            </w:pPr>
            <w:r w:rsidRPr="00A3253C">
              <w:rPr>
                <w:rFonts w:ascii="Arial" w:hAnsi="Arial" w:cs="Arial"/>
                <w:sz w:val="16"/>
                <w:szCs w:val="16"/>
              </w:rPr>
              <w:t>6.69</w:t>
            </w:r>
          </w:p>
        </w:tc>
        <w:tc>
          <w:tcPr>
            <w:tcW w:w="1032" w:type="pct"/>
            <w:vAlign w:val="center"/>
          </w:tcPr>
          <w:p w14:paraId="4D5A3129" w14:textId="51268225" w:rsidR="007D2764" w:rsidRPr="00A3253C" w:rsidRDefault="007D2764" w:rsidP="007D2764">
            <w:pPr>
              <w:pStyle w:val="TableText"/>
              <w:rPr>
                <w:sz w:val="16"/>
                <w:szCs w:val="16"/>
              </w:rPr>
            </w:pPr>
            <w:r w:rsidRPr="00A3253C">
              <w:rPr>
                <w:rFonts w:ascii="Arial" w:hAnsi="Arial" w:cs="Arial"/>
                <w:sz w:val="16"/>
                <w:szCs w:val="16"/>
              </w:rPr>
              <w:t>-1.46</w:t>
            </w:r>
          </w:p>
        </w:tc>
        <w:tc>
          <w:tcPr>
            <w:tcW w:w="736" w:type="pct"/>
            <w:vAlign w:val="center"/>
          </w:tcPr>
          <w:p w14:paraId="181CE151" w14:textId="4EDAC040" w:rsidR="007D2764" w:rsidRPr="00A3253C" w:rsidRDefault="007D2764" w:rsidP="007D2764">
            <w:pPr>
              <w:pStyle w:val="TableText"/>
              <w:rPr>
                <w:sz w:val="16"/>
                <w:szCs w:val="16"/>
              </w:rPr>
            </w:pPr>
            <w:r w:rsidRPr="00A3253C">
              <w:rPr>
                <w:rFonts w:ascii="Arial" w:hAnsi="Arial" w:cs="Arial"/>
                <w:sz w:val="16"/>
                <w:szCs w:val="16"/>
              </w:rPr>
              <w:t>6.98</w:t>
            </w:r>
          </w:p>
        </w:tc>
        <w:tc>
          <w:tcPr>
            <w:tcW w:w="878" w:type="pct"/>
            <w:vAlign w:val="center"/>
          </w:tcPr>
          <w:p w14:paraId="26FC97BA" w14:textId="717825C6" w:rsidR="007D2764" w:rsidRPr="00A3253C" w:rsidRDefault="007D2764" w:rsidP="007D2764">
            <w:pPr>
              <w:pStyle w:val="TableText"/>
              <w:rPr>
                <w:sz w:val="16"/>
                <w:szCs w:val="16"/>
              </w:rPr>
            </w:pPr>
            <w:r w:rsidRPr="00A3253C">
              <w:rPr>
                <w:rFonts w:ascii="Arial" w:hAnsi="Arial" w:cs="Arial"/>
                <w:sz w:val="16"/>
                <w:szCs w:val="16"/>
              </w:rPr>
              <w:t>-4.07</w:t>
            </w:r>
          </w:p>
        </w:tc>
      </w:tr>
      <w:tr w:rsidR="007D2764" w:rsidRPr="00A3253C" w14:paraId="3CC5E248" w14:textId="77777777" w:rsidTr="007D2764">
        <w:trPr>
          <w:jc w:val="center"/>
        </w:trPr>
        <w:tc>
          <w:tcPr>
            <w:tcW w:w="441" w:type="pct"/>
            <w:vAlign w:val="center"/>
          </w:tcPr>
          <w:p w14:paraId="3FB650AB" w14:textId="32B26AB1"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50419174" w14:textId="6AEF0828" w:rsidR="007D2764" w:rsidRPr="00A3253C" w:rsidRDefault="007D2764" w:rsidP="007D2764">
            <w:pPr>
              <w:pStyle w:val="TableText"/>
              <w:rPr>
                <w:sz w:val="16"/>
                <w:szCs w:val="16"/>
              </w:rPr>
            </w:pPr>
            <w:r w:rsidRPr="00A3253C">
              <w:rPr>
                <w:rFonts w:ascii="Arial" w:hAnsi="Arial" w:cs="Arial"/>
                <w:sz w:val="16"/>
                <w:szCs w:val="16"/>
              </w:rPr>
              <w:t>$US vs GBP</w:t>
            </w:r>
          </w:p>
        </w:tc>
        <w:tc>
          <w:tcPr>
            <w:tcW w:w="736" w:type="pct"/>
            <w:vAlign w:val="center"/>
          </w:tcPr>
          <w:p w14:paraId="7E75E71A" w14:textId="261428AF" w:rsidR="007D2764" w:rsidRPr="00A3253C" w:rsidRDefault="007D2764" w:rsidP="007D2764">
            <w:pPr>
              <w:pStyle w:val="TableText"/>
              <w:rPr>
                <w:sz w:val="16"/>
                <w:szCs w:val="16"/>
              </w:rPr>
            </w:pPr>
            <w:r w:rsidRPr="00A3253C">
              <w:rPr>
                <w:rFonts w:ascii="Arial" w:hAnsi="Arial" w:cs="Arial"/>
                <w:sz w:val="16"/>
                <w:szCs w:val="16"/>
              </w:rPr>
              <w:t>77.22</w:t>
            </w:r>
          </w:p>
        </w:tc>
        <w:tc>
          <w:tcPr>
            <w:tcW w:w="1032" w:type="pct"/>
            <w:vAlign w:val="center"/>
          </w:tcPr>
          <w:p w14:paraId="0C2FDA18" w14:textId="5FDBB876" w:rsidR="007D2764" w:rsidRPr="00A3253C" w:rsidRDefault="007D2764" w:rsidP="007D2764">
            <w:pPr>
              <w:pStyle w:val="TableText"/>
              <w:rPr>
                <w:sz w:val="16"/>
                <w:szCs w:val="16"/>
              </w:rPr>
            </w:pPr>
            <w:r w:rsidRPr="00A3253C">
              <w:rPr>
                <w:rFonts w:ascii="Arial" w:hAnsi="Arial" w:cs="Arial"/>
                <w:sz w:val="16"/>
                <w:szCs w:val="16"/>
              </w:rPr>
              <w:t>-0.21</w:t>
            </w:r>
          </w:p>
        </w:tc>
        <w:tc>
          <w:tcPr>
            <w:tcW w:w="736" w:type="pct"/>
            <w:vAlign w:val="center"/>
          </w:tcPr>
          <w:p w14:paraId="22CE71C2" w14:textId="413AC0DF" w:rsidR="007D2764" w:rsidRPr="00A3253C" w:rsidRDefault="007D2764" w:rsidP="007D2764">
            <w:pPr>
              <w:pStyle w:val="TableText"/>
              <w:rPr>
                <w:sz w:val="16"/>
                <w:szCs w:val="16"/>
              </w:rPr>
            </w:pPr>
            <w:r w:rsidRPr="00A3253C">
              <w:rPr>
                <w:rFonts w:ascii="Arial" w:hAnsi="Arial" w:cs="Arial"/>
                <w:sz w:val="16"/>
                <w:szCs w:val="16"/>
              </w:rPr>
              <w:t>76.42</w:t>
            </w:r>
          </w:p>
        </w:tc>
        <w:tc>
          <w:tcPr>
            <w:tcW w:w="878" w:type="pct"/>
            <w:vAlign w:val="center"/>
          </w:tcPr>
          <w:p w14:paraId="64EEEB4D" w14:textId="3153A117" w:rsidR="007D2764" w:rsidRPr="00A3253C" w:rsidRDefault="007D2764" w:rsidP="007D2764">
            <w:pPr>
              <w:pStyle w:val="TableText"/>
              <w:rPr>
                <w:sz w:val="16"/>
                <w:szCs w:val="16"/>
              </w:rPr>
            </w:pPr>
            <w:r w:rsidRPr="00A3253C">
              <w:rPr>
                <w:rFonts w:ascii="Arial" w:hAnsi="Arial" w:cs="Arial"/>
                <w:sz w:val="16"/>
                <w:szCs w:val="16"/>
              </w:rPr>
              <w:t>1.05</w:t>
            </w:r>
          </w:p>
        </w:tc>
      </w:tr>
      <w:tr w:rsidR="007D2764" w:rsidRPr="00A3253C" w14:paraId="3B04CBEA" w14:textId="77777777" w:rsidTr="007D2764">
        <w:trPr>
          <w:cnfStyle w:val="000000010000" w:firstRow="0" w:lastRow="0" w:firstColumn="0" w:lastColumn="0" w:oddVBand="0" w:evenVBand="0" w:oddHBand="0" w:evenHBand="1" w:firstRowFirstColumn="0" w:firstRowLastColumn="0" w:lastRowFirstColumn="0" w:lastRowLastColumn="0"/>
          <w:jc w:val="center"/>
        </w:trPr>
        <w:tc>
          <w:tcPr>
            <w:tcW w:w="441" w:type="pct"/>
            <w:vAlign w:val="center"/>
          </w:tcPr>
          <w:p w14:paraId="0E86C0EC" w14:textId="7221DC98"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62A3CC43" w14:textId="036C2D3B" w:rsidR="007D2764" w:rsidRPr="00A3253C" w:rsidRDefault="007D2764" w:rsidP="007D2764">
            <w:pPr>
              <w:pStyle w:val="TableText"/>
              <w:rPr>
                <w:sz w:val="16"/>
                <w:szCs w:val="16"/>
              </w:rPr>
            </w:pPr>
            <w:r w:rsidRPr="00A3253C">
              <w:rPr>
                <w:rFonts w:ascii="Arial" w:hAnsi="Arial" w:cs="Arial"/>
                <w:sz w:val="16"/>
                <w:szCs w:val="16"/>
              </w:rPr>
              <w:t>$US vs JPY</w:t>
            </w:r>
          </w:p>
        </w:tc>
        <w:tc>
          <w:tcPr>
            <w:tcW w:w="736" w:type="pct"/>
            <w:vAlign w:val="center"/>
          </w:tcPr>
          <w:p w14:paraId="40E01ED3" w14:textId="45454C34" w:rsidR="007D2764" w:rsidRPr="00A3253C" w:rsidRDefault="007D2764" w:rsidP="007D2764">
            <w:pPr>
              <w:pStyle w:val="TableText"/>
              <w:rPr>
                <w:sz w:val="16"/>
                <w:szCs w:val="16"/>
              </w:rPr>
            </w:pPr>
            <w:r w:rsidRPr="00A3253C">
              <w:rPr>
                <w:rFonts w:ascii="Arial" w:hAnsi="Arial" w:cs="Arial"/>
                <w:sz w:val="16"/>
                <w:szCs w:val="16"/>
              </w:rPr>
              <w:t>104.66</w:t>
            </w:r>
          </w:p>
        </w:tc>
        <w:tc>
          <w:tcPr>
            <w:tcW w:w="1032" w:type="pct"/>
            <w:vAlign w:val="center"/>
          </w:tcPr>
          <w:p w14:paraId="710B617C" w14:textId="42FAF24E" w:rsidR="007D2764" w:rsidRPr="00A3253C" w:rsidRDefault="007D2764" w:rsidP="007D2764">
            <w:pPr>
              <w:pStyle w:val="TableText"/>
              <w:rPr>
                <w:sz w:val="16"/>
                <w:szCs w:val="16"/>
              </w:rPr>
            </w:pPr>
            <w:r w:rsidRPr="00A3253C">
              <w:rPr>
                <w:rFonts w:ascii="Arial" w:hAnsi="Arial" w:cs="Arial"/>
                <w:sz w:val="16"/>
                <w:szCs w:val="16"/>
              </w:rPr>
              <w:t>-0.78</w:t>
            </w:r>
          </w:p>
        </w:tc>
        <w:tc>
          <w:tcPr>
            <w:tcW w:w="736" w:type="pct"/>
            <w:vAlign w:val="center"/>
          </w:tcPr>
          <w:p w14:paraId="5CA7D445" w14:textId="7EC76F90" w:rsidR="007D2764" w:rsidRPr="00A3253C" w:rsidRDefault="007D2764" w:rsidP="007D2764">
            <w:pPr>
              <w:pStyle w:val="TableText"/>
              <w:rPr>
                <w:sz w:val="16"/>
                <w:szCs w:val="16"/>
              </w:rPr>
            </w:pPr>
            <w:r w:rsidRPr="00A3253C">
              <w:rPr>
                <w:rFonts w:ascii="Arial" w:hAnsi="Arial" w:cs="Arial"/>
                <w:sz w:val="16"/>
                <w:szCs w:val="16"/>
              </w:rPr>
              <w:t>105.83</w:t>
            </w:r>
          </w:p>
        </w:tc>
        <w:tc>
          <w:tcPr>
            <w:tcW w:w="878" w:type="pct"/>
            <w:vAlign w:val="center"/>
          </w:tcPr>
          <w:p w14:paraId="2D874F95" w14:textId="3070ED4B" w:rsidR="007D2764" w:rsidRPr="00A3253C" w:rsidRDefault="007D2764" w:rsidP="007D2764">
            <w:pPr>
              <w:pStyle w:val="TableText"/>
              <w:rPr>
                <w:sz w:val="16"/>
                <w:szCs w:val="16"/>
              </w:rPr>
            </w:pPr>
            <w:r w:rsidRPr="00A3253C">
              <w:rPr>
                <w:rFonts w:ascii="Arial" w:hAnsi="Arial" w:cs="Arial"/>
                <w:sz w:val="16"/>
                <w:szCs w:val="16"/>
              </w:rPr>
              <w:t>-1.11</w:t>
            </w:r>
          </w:p>
        </w:tc>
      </w:tr>
      <w:tr w:rsidR="007D2764" w:rsidRPr="00A3253C" w14:paraId="05DAAAA4" w14:textId="77777777" w:rsidTr="007D2764">
        <w:trPr>
          <w:jc w:val="center"/>
        </w:trPr>
        <w:tc>
          <w:tcPr>
            <w:tcW w:w="441" w:type="pct"/>
            <w:vAlign w:val="center"/>
          </w:tcPr>
          <w:p w14:paraId="420FA01B" w14:textId="3C2EE398"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6C7E0C50" w14:textId="7B119758" w:rsidR="007D2764" w:rsidRPr="00A3253C" w:rsidRDefault="007D2764" w:rsidP="007D2764">
            <w:pPr>
              <w:pStyle w:val="TableText"/>
              <w:rPr>
                <w:sz w:val="16"/>
                <w:szCs w:val="16"/>
              </w:rPr>
            </w:pPr>
            <w:r w:rsidRPr="00A3253C">
              <w:rPr>
                <w:rFonts w:ascii="Arial" w:hAnsi="Arial" w:cs="Arial"/>
                <w:sz w:val="16"/>
                <w:szCs w:val="16"/>
              </w:rPr>
              <w:t>$US vs CHF</w:t>
            </w:r>
          </w:p>
        </w:tc>
        <w:tc>
          <w:tcPr>
            <w:tcW w:w="736" w:type="pct"/>
            <w:vAlign w:val="center"/>
          </w:tcPr>
          <w:p w14:paraId="3AAB5778" w14:textId="1BE1F5AB" w:rsidR="007D2764" w:rsidRPr="00A3253C" w:rsidRDefault="007D2764" w:rsidP="007D2764">
            <w:pPr>
              <w:pStyle w:val="TableText"/>
              <w:rPr>
                <w:sz w:val="16"/>
                <w:szCs w:val="16"/>
              </w:rPr>
            </w:pPr>
            <w:r w:rsidRPr="00A3253C">
              <w:rPr>
                <w:rFonts w:ascii="Arial" w:hAnsi="Arial" w:cs="Arial"/>
                <w:sz w:val="16"/>
                <w:szCs w:val="16"/>
              </w:rPr>
              <w:t>91.70</w:t>
            </w:r>
          </w:p>
        </w:tc>
        <w:tc>
          <w:tcPr>
            <w:tcW w:w="1032" w:type="pct"/>
            <w:vAlign w:val="center"/>
          </w:tcPr>
          <w:p w14:paraId="5A475A8D" w14:textId="292DC8F2" w:rsidR="007D2764" w:rsidRPr="00A3253C" w:rsidRDefault="007D2764" w:rsidP="007D2764">
            <w:pPr>
              <w:pStyle w:val="TableText"/>
              <w:rPr>
                <w:sz w:val="16"/>
                <w:szCs w:val="16"/>
              </w:rPr>
            </w:pPr>
            <w:r w:rsidRPr="00A3253C">
              <w:rPr>
                <w:rFonts w:ascii="Arial" w:hAnsi="Arial" w:cs="Arial"/>
                <w:sz w:val="16"/>
                <w:szCs w:val="16"/>
              </w:rPr>
              <w:t>-0.42</w:t>
            </w:r>
          </w:p>
        </w:tc>
        <w:tc>
          <w:tcPr>
            <w:tcW w:w="736" w:type="pct"/>
            <w:vAlign w:val="center"/>
          </w:tcPr>
          <w:p w14:paraId="7E69C9C1" w14:textId="1E45A1AB" w:rsidR="007D2764" w:rsidRPr="00A3253C" w:rsidRDefault="007D2764" w:rsidP="007D2764">
            <w:pPr>
              <w:pStyle w:val="TableText"/>
              <w:rPr>
                <w:sz w:val="16"/>
                <w:szCs w:val="16"/>
              </w:rPr>
            </w:pPr>
            <w:r w:rsidRPr="00A3253C">
              <w:rPr>
                <w:rFonts w:ascii="Arial" w:hAnsi="Arial" w:cs="Arial"/>
                <w:sz w:val="16"/>
                <w:szCs w:val="16"/>
              </w:rPr>
              <w:t>91.29</w:t>
            </w:r>
          </w:p>
        </w:tc>
        <w:tc>
          <w:tcPr>
            <w:tcW w:w="878" w:type="pct"/>
            <w:vAlign w:val="center"/>
          </w:tcPr>
          <w:p w14:paraId="3B6DFEF4" w14:textId="77C722C3" w:rsidR="007D2764" w:rsidRPr="00A3253C" w:rsidRDefault="007D2764" w:rsidP="007D2764">
            <w:pPr>
              <w:pStyle w:val="TableText"/>
              <w:rPr>
                <w:sz w:val="16"/>
                <w:szCs w:val="16"/>
              </w:rPr>
            </w:pPr>
            <w:r w:rsidRPr="00A3253C">
              <w:rPr>
                <w:rFonts w:ascii="Arial" w:hAnsi="Arial" w:cs="Arial"/>
                <w:sz w:val="16"/>
                <w:szCs w:val="16"/>
              </w:rPr>
              <w:t>0.45</w:t>
            </w:r>
          </w:p>
        </w:tc>
      </w:tr>
      <w:tr w:rsidR="007D2764" w:rsidRPr="00A3253C" w14:paraId="630FEC7F" w14:textId="77777777" w:rsidTr="007D2764">
        <w:trPr>
          <w:cnfStyle w:val="000000010000" w:firstRow="0" w:lastRow="0" w:firstColumn="0" w:lastColumn="0" w:oddVBand="0" w:evenVBand="0" w:oddHBand="0" w:evenHBand="1" w:firstRowFirstColumn="0" w:firstRowLastColumn="0" w:lastRowFirstColumn="0" w:lastRowLastColumn="0"/>
          <w:jc w:val="center"/>
        </w:trPr>
        <w:tc>
          <w:tcPr>
            <w:tcW w:w="441" w:type="pct"/>
            <w:vAlign w:val="center"/>
          </w:tcPr>
          <w:p w14:paraId="30D0FA72" w14:textId="2B885C28" w:rsidR="007D2764" w:rsidRPr="00A3253C" w:rsidRDefault="007D2764" w:rsidP="007D2764">
            <w:pPr>
              <w:pStyle w:val="TableText"/>
            </w:pPr>
            <w:r w:rsidRPr="00A3253C">
              <w:rPr>
                <w:rFonts w:ascii="Arial" w:hAnsi="Arial" w:cs="Arial"/>
                <w:color w:val="00B050"/>
                <w:sz w:val="16"/>
                <w:szCs w:val="16"/>
              </w:rPr>
              <w:t>▲</w:t>
            </w:r>
          </w:p>
        </w:tc>
        <w:tc>
          <w:tcPr>
            <w:tcW w:w="1178" w:type="pct"/>
            <w:vAlign w:val="center"/>
          </w:tcPr>
          <w:p w14:paraId="5C24A8FA" w14:textId="3B1F60C3" w:rsidR="007D2764" w:rsidRPr="00A3253C" w:rsidRDefault="007D2764" w:rsidP="007D2764">
            <w:pPr>
              <w:pStyle w:val="TableText"/>
              <w:rPr>
                <w:sz w:val="16"/>
                <w:szCs w:val="16"/>
              </w:rPr>
            </w:pPr>
            <w:r w:rsidRPr="00A3253C">
              <w:rPr>
                <w:rFonts w:ascii="Arial" w:hAnsi="Arial" w:cs="Arial"/>
                <w:sz w:val="16"/>
                <w:szCs w:val="16"/>
              </w:rPr>
              <w:t>US Dollar Index</w:t>
            </w:r>
          </w:p>
        </w:tc>
        <w:tc>
          <w:tcPr>
            <w:tcW w:w="736" w:type="pct"/>
            <w:vAlign w:val="center"/>
          </w:tcPr>
          <w:p w14:paraId="05735631" w14:textId="6C813BAF" w:rsidR="007D2764" w:rsidRPr="00A3253C" w:rsidRDefault="007D2764" w:rsidP="007D2764">
            <w:pPr>
              <w:pStyle w:val="TableText"/>
              <w:rPr>
                <w:sz w:val="16"/>
                <w:szCs w:val="16"/>
              </w:rPr>
            </w:pPr>
            <w:r w:rsidRPr="00A3253C">
              <w:rPr>
                <w:rFonts w:ascii="Arial" w:hAnsi="Arial" w:cs="Arial"/>
                <w:sz w:val="16"/>
                <w:szCs w:val="16"/>
              </w:rPr>
              <w:t>94.04</w:t>
            </w:r>
          </w:p>
        </w:tc>
        <w:tc>
          <w:tcPr>
            <w:tcW w:w="1032" w:type="pct"/>
            <w:vAlign w:val="center"/>
          </w:tcPr>
          <w:p w14:paraId="34BE4156" w14:textId="67BBE513" w:rsidR="007D2764" w:rsidRPr="00A3253C" w:rsidRDefault="007D2764" w:rsidP="007D2764">
            <w:pPr>
              <w:pStyle w:val="TableText"/>
              <w:rPr>
                <w:sz w:val="16"/>
                <w:szCs w:val="16"/>
              </w:rPr>
            </w:pPr>
            <w:r w:rsidRPr="00A3253C">
              <w:rPr>
                <w:rFonts w:ascii="Arial" w:hAnsi="Arial" w:cs="Arial"/>
                <w:sz w:val="16"/>
                <w:szCs w:val="16"/>
              </w:rPr>
              <w:t>0.16</w:t>
            </w:r>
          </w:p>
        </w:tc>
        <w:tc>
          <w:tcPr>
            <w:tcW w:w="736" w:type="pct"/>
            <w:vAlign w:val="center"/>
          </w:tcPr>
          <w:p w14:paraId="01DD482D" w14:textId="4A5C5C22" w:rsidR="007D2764" w:rsidRPr="00A3253C" w:rsidRDefault="007D2764" w:rsidP="007D2764">
            <w:pPr>
              <w:pStyle w:val="TableText"/>
              <w:rPr>
                <w:sz w:val="16"/>
                <w:szCs w:val="16"/>
              </w:rPr>
            </w:pPr>
            <w:r w:rsidRPr="00A3253C">
              <w:rPr>
                <w:rFonts w:ascii="Arial" w:hAnsi="Arial" w:cs="Arial"/>
                <w:sz w:val="16"/>
                <w:szCs w:val="16"/>
              </w:rPr>
              <w:t>93.35</w:t>
            </w:r>
          </w:p>
        </w:tc>
        <w:tc>
          <w:tcPr>
            <w:tcW w:w="878" w:type="pct"/>
            <w:vAlign w:val="center"/>
          </w:tcPr>
          <w:p w14:paraId="2126A836" w14:textId="53149707" w:rsidR="007D2764" w:rsidRPr="00A3253C" w:rsidRDefault="007D2764" w:rsidP="007D2764">
            <w:pPr>
              <w:pStyle w:val="TableText"/>
              <w:rPr>
                <w:sz w:val="16"/>
                <w:szCs w:val="16"/>
              </w:rPr>
            </w:pPr>
            <w:r w:rsidRPr="00A3253C">
              <w:rPr>
                <w:rFonts w:ascii="Arial" w:hAnsi="Arial" w:cs="Arial"/>
                <w:sz w:val="16"/>
                <w:szCs w:val="16"/>
              </w:rPr>
              <w:t>0.74</w:t>
            </w:r>
          </w:p>
        </w:tc>
      </w:tr>
      <w:tr w:rsidR="007D2764" w:rsidRPr="00A3253C" w14:paraId="46A62A18" w14:textId="77777777" w:rsidTr="007D2764">
        <w:trPr>
          <w:jc w:val="center"/>
        </w:trPr>
        <w:tc>
          <w:tcPr>
            <w:tcW w:w="441" w:type="pct"/>
            <w:vAlign w:val="center"/>
          </w:tcPr>
          <w:p w14:paraId="74F09C8D" w14:textId="1AE290E2" w:rsidR="007D2764" w:rsidRPr="00A3253C" w:rsidRDefault="007D2764" w:rsidP="007D2764">
            <w:pPr>
              <w:pStyle w:val="TableText"/>
            </w:pPr>
            <w:r w:rsidRPr="00A3253C">
              <w:rPr>
                <w:rFonts w:ascii="Arial" w:hAnsi="Arial" w:cs="Arial"/>
                <w:color w:val="FF0000"/>
                <w:sz w:val="16"/>
                <w:szCs w:val="16"/>
              </w:rPr>
              <w:t>▼</w:t>
            </w:r>
          </w:p>
        </w:tc>
        <w:tc>
          <w:tcPr>
            <w:tcW w:w="1178" w:type="pct"/>
            <w:vAlign w:val="center"/>
          </w:tcPr>
          <w:p w14:paraId="4DB2B3F3" w14:textId="2DAF0FAB" w:rsidR="007D2764" w:rsidRPr="00A3253C" w:rsidRDefault="007D2764" w:rsidP="007D2764">
            <w:pPr>
              <w:pStyle w:val="TableText"/>
              <w:rPr>
                <w:sz w:val="16"/>
                <w:szCs w:val="16"/>
              </w:rPr>
            </w:pPr>
            <w:r w:rsidRPr="00A3253C">
              <w:rPr>
                <w:rFonts w:ascii="Arial" w:hAnsi="Arial" w:cs="Arial"/>
                <w:sz w:val="16"/>
                <w:szCs w:val="16"/>
              </w:rPr>
              <w:t>EM Currency Index</w:t>
            </w:r>
          </w:p>
        </w:tc>
        <w:tc>
          <w:tcPr>
            <w:tcW w:w="736" w:type="pct"/>
            <w:vAlign w:val="center"/>
          </w:tcPr>
          <w:p w14:paraId="5BAE4C50" w14:textId="25EEBC5C" w:rsidR="007D2764" w:rsidRPr="00A3253C" w:rsidRDefault="007D2764" w:rsidP="007D2764">
            <w:pPr>
              <w:pStyle w:val="TableText"/>
              <w:rPr>
                <w:sz w:val="16"/>
                <w:szCs w:val="16"/>
              </w:rPr>
            </w:pPr>
            <w:r w:rsidRPr="00A3253C">
              <w:rPr>
                <w:rFonts w:ascii="Arial" w:hAnsi="Arial" w:cs="Arial"/>
                <w:sz w:val="16"/>
                <w:szCs w:val="16"/>
              </w:rPr>
              <w:t>54.29</w:t>
            </w:r>
          </w:p>
        </w:tc>
        <w:tc>
          <w:tcPr>
            <w:tcW w:w="1032" w:type="pct"/>
            <w:vAlign w:val="center"/>
          </w:tcPr>
          <w:p w14:paraId="48B28D80" w14:textId="301AA9BA" w:rsidR="007D2764" w:rsidRPr="00A3253C" w:rsidRDefault="007D2764" w:rsidP="007D2764">
            <w:pPr>
              <w:pStyle w:val="TableText"/>
              <w:rPr>
                <w:sz w:val="16"/>
                <w:szCs w:val="16"/>
              </w:rPr>
            </w:pPr>
            <w:r w:rsidRPr="00A3253C">
              <w:rPr>
                <w:rFonts w:ascii="Arial" w:hAnsi="Arial" w:cs="Arial"/>
                <w:sz w:val="16"/>
                <w:szCs w:val="16"/>
              </w:rPr>
              <w:t>-0.42</w:t>
            </w:r>
          </w:p>
        </w:tc>
        <w:tc>
          <w:tcPr>
            <w:tcW w:w="736" w:type="pct"/>
            <w:vAlign w:val="center"/>
          </w:tcPr>
          <w:p w14:paraId="04EB4BAF" w14:textId="0DAD03DB" w:rsidR="007D2764" w:rsidRPr="00A3253C" w:rsidRDefault="007D2764" w:rsidP="007D2764">
            <w:pPr>
              <w:pStyle w:val="TableText"/>
              <w:rPr>
                <w:sz w:val="16"/>
                <w:szCs w:val="16"/>
              </w:rPr>
            </w:pPr>
            <w:r w:rsidRPr="00A3253C">
              <w:rPr>
                <w:rFonts w:ascii="Arial" w:hAnsi="Arial" w:cs="Arial"/>
                <w:sz w:val="16"/>
                <w:szCs w:val="16"/>
              </w:rPr>
              <w:t>55.60</w:t>
            </w:r>
          </w:p>
        </w:tc>
        <w:tc>
          <w:tcPr>
            <w:tcW w:w="878" w:type="pct"/>
            <w:vAlign w:val="center"/>
          </w:tcPr>
          <w:p w14:paraId="51C3266E" w14:textId="732A0281" w:rsidR="007D2764" w:rsidRPr="00A3253C" w:rsidRDefault="007D2764" w:rsidP="007D2764">
            <w:pPr>
              <w:pStyle w:val="TableText"/>
              <w:rPr>
                <w:sz w:val="16"/>
                <w:szCs w:val="16"/>
              </w:rPr>
            </w:pPr>
            <w:r w:rsidRPr="00A3253C">
              <w:rPr>
                <w:rFonts w:ascii="Arial" w:hAnsi="Arial" w:cs="Arial"/>
                <w:sz w:val="16"/>
                <w:szCs w:val="16"/>
              </w:rPr>
              <w:t>-2.36</w:t>
            </w:r>
          </w:p>
        </w:tc>
      </w:tr>
    </w:tbl>
    <w:p w14:paraId="6D6DB267" w14:textId="77777777" w:rsidR="00E06B70" w:rsidRPr="00A3253C" w:rsidRDefault="00E06B70" w:rsidP="00E85F3F">
      <w:pPr>
        <w:pStyle w:val="Disclaimer"/>
      </w:pPr>
      <w:r w:rsidRPr="00A3253C">
        <w:t>Source: Bloomberg, IOOF</w:t>
      </w:r>
    </w:p>
    <w:p w14:paraId="24621A99" w14:textId="0779D659" w:rsidR="00E06B70" w:rsidRPr="00A3253C" w:rsidRDefault="00E06B70" w:rsidP="00243AA4">
      <w:pPr>
        <w:pStyle w:val="BodyText"/>
      </w:pPr>
      <w:r w:rsidRPr="00A3253C">
        <w:t xml:space="preserve">The Australian dollar (AUD) </w:t>
      </w:r>
      <w:r w:rsidR="007D2764" w:rsidRPr="00A3253C">
        <w:t>fell 1.9%</w:t>
      </w:r>
      <w:r w:rsidRPr="00A3253C">
        <w:t xml:space="preserve"> against the US Dollar (USD) during </w:t>
      </w:r>
      <w:r w:rsidR="007D2764" w:rsidRPr="00A3253C">
        <w:t>October</w:t>
      </w:r>
      <w:r w:rsidRPr="00A3253C">
        <w:t xml:space="preserve">, from USD </w:t>
      </w:r>
      <w:r w:rsidR="007D2764" w:rsidRPr="00A3253C">
        <w:t>0.7162</w:t>
      </w:r>
      <w:r w:rsidRPr="00A3253C">
        <w:t xml:space="preserve"> to USD 0.</w:t>
      </w:r>
      <w:r w:rsidR="007D2764" w:rsidRPr="00A3253C">
        <w:t>7028</w:t>
      </w:r>
      <w:r w:rsidRPr="00A3253C">
        <w:t>. Drivers included:</w:t>
      </w:r>
    </w:p>
    <w:p w14:paraId="6820D42B" w14:textId="5639DDB1" w:rsidR="007D2764" w:rsidRPr="00A3253C" w:rsidRDefault="007D2764" w:rsidP="007D2764">
      <w:pPr>
        <w:pStyle w:val="ListBullet"/>
      </w:pPr>
      <w:r w:rsidRPr="00A3253C">
        <w:t xml:space="preserve">Growth in coronavirus cases in developed markets such as Europe and the US triggered </w:t>
      </w:r>
      <w:r w:rsidR="00CF1AAA" w:rsidRPr="00A3253C">
        <w:t xml:space="preserve">a shift to “risk off” sentiment in currency markets. Such changes adversely affect the Australian dollar which, due to our commodity export exposure, is seen as leveraged on global economic growth. Weaker global growth expectations, all else being equal, weakens our currency. </w:t>
      </w:r>
    </w:p>
    <w:p w14:paraId="04FAB19C" w14:textId="7078F00B" w:rsidR="00CF1AAA" w:rsidRPr="00A3253C" w:rsidRDefault="00CF1AAA" w:rsidP="007D2764">
      <w:pPr>
        <w:pStyle w:val="ListBullet"/>
      </w:pPr>
      <w:r w:rsidRPr="00A3253C">
        <w:t xml:space="preserve">Another factor was the extent that the market had “priced in” expectations of RBA policy prior to their announcement in early November. Speculation was rife amongst market observers over what the RBA would do exactly with their policies broadly in line with market consensus. </w:t>
      </w:r>
    </w:p>
    <w:p w14:paraId="6A9DC723" w14:textId="2BF309B5" w:rsidR="00CF1AAA" w:rsidRPr="00A3253C" w:rsidRDefault="00CF1AAA" w:rsidP="00CF1AAA">
      <w:pPr>
        <w:pStyle w:val="ListBullet"/>
        <w:numPr>
          <w:ilvl w:val="0"/>
          <w:numId w:val="0"/>
        </w:numPr>
      </w:pPr>
      <w:r w:rsidRPr="00A3253C">
        <w:t xml:space="preserve">Conversely the US Dollar was supported by a flight to safety which saw the DXY index rise. Separately we note since month-end with both the vaccine news and Biden election victory, a stronger global growth scenario was expected prompting a month-to-date surge in the AUD of 3% (as of 12 November). </w:t>
      </w:r>
    </w:p>
    <w:p w14:paraId="31E17AC8" w14:textId="117B2D84" w:rsidR="00E06B70" w:rsidRPr="00A3253C" w:rsidRDefault="00E06B70" w:rsidP="00575FB9">
      <w:pPr>
        <w:pStyle w:val="Heading2"/>
      </w:pPr>
      <w:r w:rsidRPr="00A3253C">
        <w:t>Commodities</w:t>
      </w:r>
    </w:p>
    <w:tbl>
      <w:tblPr>
        <w:tblStyle w:val="TableIOOF"/>
        <w:tblW w:w="5000" w:type="pct"/>
        <w:tblLayout w:type="fixed"/>
        <w:tblLook w:val="04A0" w:firstRow="1" w:lastRow="0" w:firstColumn="1" w:lastColumn="0" w:noHBand="0" w:noVBand="1"/>
      </w:tblPr>
      <w:tblGrid>
        <w:gridCol w:w="453"/>
        <w:gridCol w:w="1387"/>
        <w:gridCol w:w="709"/>
        <w:gridCol w:w="802"/>
        <w:gridCol w:w="701"/>
        <w:gridCol w:w="760"/>
      </w:tblGrid>
      <w:tr w:rsidR="00021043" w:rsidRPr="00A3253C" w14:paraId="1A06A6B8" w14:textId="77777777" w:rsidTr="00E76312">
        <w:trPr>
          <w:cnfStyle w:val="100000000000" w:firstRow="1" w:lastRow="0" w:firstColumn="0" w:lastColumn="0" w:oddVBand="0" w:evenVBand="0" w:oddHBand="0" w:evenHBand="0" w:firstRowFirstColumn="0" w:firstRowLastColumn="0" w:lastRowFirstColumn="0" w:lastRowLastColumn="0"/>
        </w:trPr>
        <w:tc>
          <w:tcPr>
            <w:tcW w:w="1912" w:type="pct"/>
            <w:gridSpan w:val="2"/>
          </w:tcPr>
          <w:p w14:paraId="2B2E25F6" w14:textId="2B457A04" w:rsidR="00021043" w:rsidRPr="00A3253C" w:rsidRDefault="00021043" w:rsidP="00E76312">
            <w:pPr>
              <w:pStyle w:val="TableHeading"/>
              <w:jc w:val="center"/>
            </w:pPr>
          </w:p>
          <w:p w14:paraId="3DE70C89" w14:textId="1ED9F8E5" w:rsidR="00021043" w:rsidRPr="00A3253C" w:rsidRDefault="00021043" w:rsidP="00E76312">
            <w:pPr>
              <w:pStyle w:val="TableHeading"/>
              <w:jc w:val="center"/>
            </w:pPr>
            <w:r w:rsidRPr="00A3253C">
              <w:t>Commodities</w:t>
            </w:r>
          </w:p>
        </w:tc>
        <w:tc>
          <w:tcPr>
            <w:tcW w:w="737" w:type="pct"/>
          </w:tcPr>
          <w:p w14:paraId="63D8C819" w14:textId="49FB7F6C" w:rsidR="00021043" w:rsidRPr="00A3253C" w:rsidRDefault="00021043" w:rsidP="00E76312">
            <w:pPr>
              <w:pStyle w:val="TableHeading"/>
              <w:jc w:val="center"/>
            </w:pPr>
            <w:r w:rsidRPr="00A3253C">
              <w:t>Oct-20 Price</w:t>
            </w:r>
          </w:p>
        </w:tc>
        <w:tc>
          <w:tcPr>
            <w:tcW w:w="833" w:type="pct"/>
          </w:tcPr>
          <w:p w14:paraId="0E81493E" w14:textId="4A538DBE" w:rsidR="00021043" w:rsidRPr="00A3253C" w:rsidRDefault="00021043" w:rsidP="00E76312">
            <w:pPr>
              <w:pStyle w:val="TableHeading"/>
              <w:jc w:val="center"/>
            </w:pPr>
            <w:r w:rsidRPr="00A3253C">
              <w:t>1M return (%)</w:t>
            </w:r>
          </w:p>
        </w:tc>
        <w:tc>
          <w:tcPr>
            <w:tcW w:w="728" w:type="pct"/>
          </w:tcPr>
          <w:p w14:paraId="10E3810E" w14:textId="5B2616E7" w:rsidR="00021043" w:rsidRPr="00A3253C" w:rsidRDefault="00021043" w:rsidP="00E76312">
            <w:pPr>
              <w:pStyle w:val="TableHeading"/>
              <w:jc w:val="center"/>
            </w:pPr>
            <w:r w:rsidRPr="00A3253C">
              <w:t>Jul-20 Price</w:t>
            </w:r>
          </w:p>
        </w:tc>
        <w:tc>
          <w:tcPr>
            <w:tcW w:w="790" w:type="pct"/>
          </w:tcPr>
          <w:p w14:paraId="02DAAC0A" w14:textId="2042FBA3" w:rsidR="00021043" w:rsidRPr="00A3253C" w:rsidRDefault="00021043" w:rsidP="00E76312">
            <w:pPr>
              <w:pStyle w:val="TableHeading"/>
              <w:jc w:val="center"/>
            </w:pPr>
            <w:r w:rsidRPr="00A3253C">
              <w:t>3M return (%)</w:t>
            </w:r>
          </w:p>
        </w:tc>
      </w:tr>
      <w:tr w:rsidR="00F77277" w:rsidRPr="00A3253C" w14:paraId="124FA377" w14:textId="77777777" w:rsidTr="00E76312">
        <w:tc>
          <w:tcPr>
            <w:tcW w:w="471" w:type="pct"/>
            <w:vAlign w:val="center"/>
          </w:tcPr>
          <w:p w14:paraId="0C36A556" w14:textId="46ADDB3C"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2771791C" w14:textId="6C51225A" w:rsidR="00F77277" w:rsidRPr="00A3253C" w:rsidRDefault="00F77277" w:rsidP="00F77277">
            <w:pPr>
              <w:pStyle w:val="TableText"/>
            </w:pPr>
            <w:r w:rsidRPr="00A3253C">
              <w:rPr>
                <w:rFonts w:ascii="Arial" w:hAnsi="Arial" w:cs="Arial"/>
                <w:szCs w:val="18"/>
              </w:rPr>
              <w:t>Aluminium</w:t>
            </w:r>
          </w:p>
        </w:tc>
        <w:tc>
          <w:tcPr>
            <w:tcW w:w="737" w:type="pct"/>
            <w:vAlign w:val="center"/>
          </w:tcPr>
          <w:p w14:paraId="473FE8BC" w14:textId="30FB9333" w:rsidR="00F77277" w:rsidRPr="00A3253C" w:rsidRDefault="00F77277" w:rsidP="00F77277">
            <w:pPr>
              <w:pStyle w:val="TableText"/>
            </w:pPr>
            <w:r w:rsidRPr="00A3253C">
              <w:rPr>
                <w:rFonts w:ascii="Arial" w:hAnsi="Arial" w:cs="Arial"/>
                <w:szCs w:val="18"/>
              </w:rPr>
              <w:t>1854</w:t>
            </w:r>
          </w:p>
        </w:tc>
        <w:tc>
          <w:tcPr>
            <w:tcW w:w="833" w:type="pct"/>
            <w:vAlign w:val="center"/>
          </w:tcPr>
          <w:p w14:paraId="79D04BA9" w14:textId="5A9E9533" w:rsidR="00F77277" w:rsidRPr="00A3253C" w:rsidRDefault="00F77277" w:rsidP="00F77277">
            <w:pPr>
              <w:pStyle w:val="TableText"/>
            </w:pPr>
            <w:r w:rsidRPr="00A3253C">
              <w:rPr>
                <w:rFonts w:ascii="Arial" w:hAnsi="Arial" w:cs="Arial"/>
                <w:szCs w:val="18"/>
              </w:rPr>
              <w:t>5.78</w:t>
            </w:r>
          </w:p>
        </w:tc>
        <w:tc>
          <w:tcPr>
            <w:tcW w:w="728" w:type="pct"/>
            <w:vAlign w:val="center"/>
          </w:tcPr>
          <w:p w14:paraId="46F38AA8" w14:textId="61A7EC1D" w:rsidR="00F77277" w:rsidRPr="00A3253C" w:rsidRDefault="00F77277" w:rsidP="00F77277">
            <w:pPr>
              <w:pStyle w:val="TableText"/>
            </w:pPr>
            <w:r w:rsidRPr="00A3253C">
              <w:rPr>
                <w:rFonts w:ascii="Arial" w:hAnsi="Arial" w:cs="Arial"/>
                <w:szCs w:val="18"/>
              </w:rPr>
              <w:t>1713</w:t>
            </w:r>
          </w:p>
        </w:tc>
        <w:tc>
          <w:tcPr>
            <w:tcW w:w="790" w:type="pct"/>
            <w:vAlign w:val="center"/>
          </w:tcPr>
          <w:p w14:paraId="081B170B" w14:textId="3836A669" w:rsidR="00F77277" w:rsidRPr="00A3253C" w:rsidRDefault="00F77277" w:rsidP="00F77277">
            <w:pPr>
              <w:pStyle w:val="TableText"/>
            </w:pPr>
            <w:r w:rsidRPr="00A3253C">
              <w:rPr>
                <w:rFonts w:ascii="Arial" w:hAnsi="Arial" w:cs="Arial"/>
                <w:szCs w:val="18"/>
              </w:rPr>
              <w:t>8.23</w:t>
            </w:r>
          </w:p>
        </w:tc>
      </w:tr>
      <w:tr w:rsidR="00F77277" w:rsidRPr="00A3253C" w14:paraId="01C4FCCB" w14:textId="77777777" w:rsidTr="00E76312">
        <w:trPr>
          <w:cnfStyle w:val="000000010000" w:firstRow="0" w:lastRow="0" w:firstColumn="0" w:lastColumn="0" w:oddVBand="0" w:evenVBand="0" w:oddHBand="0" w:evenHBand="1" w:firstRowFirstColumn="0" w:firstRowLastColumn="0" w:lastRowFirstColumn="0" w:lastRowLastColumn="0"/>
        </w:trPr>
        <w:tc>
          <w:tcPr>
            <w:tcW w:w="471" w:type="pct"/>
            <w:vAlign w:val="center"/>
          </w:tcPr>
          <w:p w14:paraId="143ED4FD" w14:textId="059400F8"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497DAFB2" w14:textId="0AE57D53" w:rsidR="00F77277" w:rsidRPr="00A3253C" w:rsidRDefault="00F77277" w:rsidP="00F77277">
            <w:pPr>
              <w:pStyle w:val="TableText"/>
            </w:pPr>
            <w:r w:rsidRPr="00A3253C">
              <w:rPr>
                <w:rFonts w:ascii="Arial" w:hAnsi="Arial" w:cs="Arial"/>
                <w:szCs w:val="18"/>
              </w:rPr>
              <w:t>Copper</w:t>
            </w:r>
          </w:p>
        </w:tc>
        <w:tc>
          <w:tcPr>
            <w:tcW w:w="737" w:type="pct"/>
            <w:vAlign w:val="center"/>
          </w:tcPr>
          <w:p w14:paraId="75CA2BEF" w14:textId="6B783F19" w:rsidR="00F77277" w:rsidRPr="00A3253C" w:rsidRDefault="00F77277" w:rsidP="00F77277">
            <w:pPr>
              <w:pStyle w:val="TableText"/>
            </w:pPr>
            <w:r w:rsidRPr="00A3253C">
              <w:rPr>
                <w:rFonts w:ascii="Arial" w:hAnsi="Arial" w:cs="Arial"/>
                <w:szCs w:val="18"/>
              </w:rPr>
              <w:t>305</w:t>
            </w:r>
          </w:p>
        </w:tc>
        <w:tc>
          <w:tcPr>
            <w:tcW w:w="833" w:type="pct"/>
            <w:vAlign w:val="center"/>
          </w:tcPr>
          <w:p w14:paraId="68045BB8" w14:textId="15CCB856" w:rsidR="00F77277" w:rsidRPr="00A3253C" w:rsidRDefault="00F77277" w:rsidP="00F77277">
            <w:pPr>
              <w:pStyle w:val="TableText"/>
            </w:pPr>
            <w:r w:rsidRPr="00A3253C">
              <w:rPr>
                <w:rFonts w:ascii="Arial" w:hAnsi="Arial" w:cs="Arial"/>
                <w:szCs w:val="18"/>
              </w:rPr>
              <w:t>0.49</w:t>
            </w:r>
          </w:p>
        </w:tc>
        <w:tc>
          <w:tcPr>
            <w:tcW w:w="728" w:type="pct"/>
            <w:vAlign w:val="center"/>
          </w:tcPr>
          <w:p w14:paraId="0A3F9144" w14:textId="496ED8F7" w:rsidR="00F77277" w:rsidRPr="00A3253C" w:rsidRDefault="00F77277" w:rsidP="00F77277">
            <w:pPr>
              <w:pStyle w:val="TableText"/>
            </w:pPr>
            <w:r w:rsidRPr="00A3253C">
              <w:rPr>
                <w:rFonts w:ascii="Arial" w:hAnsi="Arial" w:cs="Arial"/>
                <w:szCs w:val="18"/>
              </w:rPr>
              <w:t>289</w:t>
            </w:r>
          </w:p>
        </w:tc>
        <w:tc>
          <w:tcPr>
            <w:tcW w:w="790" w:type="pct"/>
            <w:vAlign w:val="center"/>
          </w:tcPr>
          <w:p w14:paraId="43B49500" w14:textId="06D2E7A2" w:rsidR="00F77277" w:rsidRPr="00A3253C" w:rsidRDefault="00F77277" w:rsidP="00F77277">
            <w:pPr>
              <w:pStyle w:val="TableText"/>
            </w:pPr>
            <w:r w:rsidRPr="00A3253C">
              <w:rPr>
                <w:rFonts w:ascii="Arial" w:hAnsi="Arial" w:cs="Arial"/>
                <w:szCs w:val="18"/>
              </w:rPr>
              <w:t>5.43</w:t>
            </w:r>
          </w:p>
        </w:tc>
      </w:tr>
      <w:tr w:rsidR="00F77277" w:rsidRPr="00A3253C" w14:paraId="357DD032" w14:textId="77777777" w:rsidTr="00E76312">
        <w:tc>
          <w:tcPr>
            <w:tcW w:w="471" w:type="pct"/>
            <w:vAlign w:val="center"/>
          </w:tcPr>
          <w:p w14:paraId="7D229869" w14:textId="5B14B839"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333DFBD8" w14:textId="3A482594" w:rsidR="00F77277" w:rsidRPr="00A3253C" w:rsidRDefault="00F77277" w:rsidP="00F77277">
            <w:pPr>
              <w:pStyle w:val="TableText"/>
            </w:pPr>
            <w:r w:rsidRPr="00A3253C">
              <w:rPr>
                <w:rFonts w:ascii="Arial" w:hAnsi="Arial" w:cs="Arial"/>
                <w:szCs w:val="18"/>
              </w:rPr>
              <w:t>Nickel</w:t>
            </w:r>
          </w:p>
        </w:tc>
        <w:tc>
          <w:tcPr>
            <w:tcW w:w="737" w:type="pct"/>
            <w:vAlign w:val="center"/>
          </w:tcPr>
          <w:p w14:paraId="6BF35612" w14:textId="48EF3A39" w:rsidR="00F77277" w:rsidRPr="00A3253C" w:rsidRDefault="00F77277" w:rsidP="00F77277">
            <w:pPr>
              <w:pStyle w:val="TableText"/>
            </w:pPr>
            <w:r w:rsidRPr="00A3253C">
              <w:rPr>
                <w:rFonts w:ascii="Arial" w:hAnsi="Arial" w:cs="Arial"/>
                <w:szCs w:val="18"/>
              </w:rPr>
              <w:t>15128</w:t>
            </w:r>
          </w:p>
        </w:tc>
        <w:tc>
          <w:tcPr>
            <w:tcW w:w="833" w:type="pct"/>
            <w:vAlign w:val="center"/>
          </w:tcPr>
          <w:p w14:paraId="7139F11D" w14:textId="49178B7E" w:rsidR="00F77277" w:rsidRPr="00A3253C" w:rsidRDefault="00F77277" w:rsidP="00F77277">
            <w:pPr>
              <w:pStyle w:val="TableText"/>
            </w:pPr>
            <w:r w:rsidRPr="00A3253C">
              <w:rPr>
                <w:rFonts w:ascii="Arial" w:hAnsi="Arial" w:cs="Arial"/>
                <w:szCs w:val="18"/>
              </w:rPr>
              <w:t>4.32</w:t>
            </w:r>
          </w:p>
        </w:tc>
        <w:tc>
          <w:tcPr>
            <w:tcW w:w="728" w:type="pct"/>
            <w:vAlign w:val="center"/>
          </w:tcPr>
          <w:p w14:paraId="56E3DA0C" w14:textId="26B91D00" w:rsidR="00F77277" w:rsidRPr="00A3253C" w:rsidRDefault="00F77277" w:rsidP="00F77277">
            <w:pPr>
              <w:pStyle w:val="TableText"/>
            </w:pPr>
            <w:r w:rsidRPr="00A3253C">
              <w:rPr>
                <w:rFonts w:ascii="Arial" w:hAnsi="Arial" w:cs="Arial"/>
                <w:szCs w:val="18"/>
              </w:rPr>
              <w:t>13797</w:t>
            </w:r>
          </w:p>
        </w:tc>
        <w:tc>
          <w:tcPr>
            <w:tcW w:w="790" w:type="pct"/>
            <w:vAlign w:val="center"/>
          </w:tcPr>
          <w:p w14:paraId="7E30E994" w14:textId="09843E2A" w:rsidR="00F77277" w:rsidRPr="00A3253C" w:rsidRDefault="00F77277" w:rsidP="00F77277">
            <w:pPr>
              <w:pStyle w:val="TableText"/>
            </w:pPr>
            <w:r w:rsidRPr="00A3253C">
              <w:rPr>
                <w:rFonts w:ascii="Arial" w:hAnsi="Arial" w:cs="Arial"/>
                <w:szCs w:val="18"/>
              </w:rPr>
              <w:t>9.65</w:t>
            </w:r>
          </w:p>
        </w:tc>
      </w:tr>
      <w:tr w:rsidR="00F77277" w:rsidRPr="00A3253C" w14:paraId="624285E7" w14:textId="77777777" w:rsidTr="00E76312">
        <w:trPr>
          <w:cnfStyle w:val="000000010000" w:firstRow="0" w:lastRow="0" w:firstColumn="0" w:lastColumn="0" w:oddVBand="0" w:evenVBand="0" w:oddHBand="0" w:evenHBand="1" w:firstRowFirstColumn="0" w:firstRowLastColumn="0" w:lastRowFirstColumn="0" w:lastRowLastColumn="0"/>
        </w:trPr>
        <w:tc>
          <w:tcPr>
            <w:tcW w:w="471" w:type="pct"/>
            <w:vAlign w:val="center"/>
          </w:tcPr>
          <w:p w14:paraId="36A8EAB4" w14:textId="1ECE3870"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0940BB62" w14:textId="0E840923" w:rsidR="00F77277" w:rsidRPr="00A3253C" w:rsidRDefault="00F77277" w:rsidP="00F77277">
            <w:pPr>
              <w:pStyle w:val="TableText"/>
            </w:pPr>
            <w:r w:rsidRPr="00A3253C">
              <w:rPr>
                <w:rFonts w:ascii="Arial" w:hAnsi="Arial" w:cs="Arial"/>
                <w:szCs w:val="18"/>
              </w:rPr>
              <w:t>Zinc</w:t>
            </w:r>
          </w:p>
        </w:tc>
        <w:tc>
          <w:tcPr>
            <w:tcW w:w="737" w:type="pct"/>
            <w:vAlign w:val="center"/>
          </w:tcPr>
          <w:p w14:paraId="136156BA" w14:textId="331CD5BB" w:rsidR="00F77277" w:rsidRPr="00A3253C" w:rsidRDefault="00F77277" w:rsidP="00F77277">
            <w:pPr>
              <w:pStyle w:val="TableText"/>
            </w:pPr>
            <w:r w:rsidRPr="00A3253C">
              <w:rPr>
                <w:rFonts w:ascii="Arial" w:hAnsi="Arial" w:cs="Arial"/>
                <w:szCs w:val="18"/>
              </w:rPr>
              <w:t>2515</w:t>
            </w:r>
          </w:p>
        </w:tc>
        <w:tc>
          <w:tcPr>
            <w:tcW w:w="833" w:type="pct"/>
            <w:vAlign w:val="center"/>
          </w:tcPr>
          <w:p w14:paraId="1848D2EC" w14:textId="5E864EAC" w:rsidR="00F77277" w:rsidRPr="00A3253C" w:rsidRDefault="00F77277" w:rsidP="00F77277">
            <w:pPr>
              <w:pStyle w:val="TableText"/>
            </w:pPr>
            <w:r w:rsidRPr="00A3253C">
              <w:rPr>
                <w:rFonts w:ascii="Arial" w:hAnsi="Arial" w:cs="Arial"/>
                <w:szCs w:val="18"/>
              </w:rPr>
              <w:t>4.93</w:t>
            </w:r>
          </w:p>
        </w:tc>
        <w:tc>
          <w:tcPr>
            <w:tcW w:w="728" w:type="pct"/>
            <w:vAlign w:val="center"/>
          </w:tcPr>
          <w:p w14:paraId="3CD067CC" w14:textId="45E79472" w:rsidR="00F77277" w:rsidRPr="00A3253C" w:rsidRDefault="00F77277" w:rsidP="00F77277">
            <w:pPr>
              <w:pStyle w:val="TableText"/>
            </w:pPr>
            <w:r w:rsidRPr="00A3253C">
              <w:rPr>
                <w:rFonts w:ascii="Arial" w:hAnsi="Arial" w:cs="Arial"/>
                <w:szCs w:val="18"/>
              </w:rPr>
              <w:t>2322</w:t>
            </w:r>
          </w:p>
        </w:tc>
        <w:tc>
          <w:tcPr>
            <w:tcW w:w="790" w:type="pct"/>
            <w:vAlign w:val="center"/>
          </w:tcPr>
          <w:p w14:paraId="222AE290" w14:textId="2ADB7511" w:rsidR="00F77277" w:rsidRPr="00A3253C" w:rsidRDefault="00F77277" w:rsidP="00F77277">
            <w:pPr>
              <w:pStyle w:val="TableText"/>
            </w:pPr>
            <w:r w:rsidRPr="00A3253C">
              <w:rPr>
                <w:rFonts w:ascii="Arial" w:hAnsi="Arial" w:cs="Arial"/>
                <w:szCs w:val="18"/>
              </w:rPr>
              <w:t>8.35</w:t>
            </w:r>
          </w:p>
        </w:tc>
      </w:tr>
      <w:tr w:rsidR="00F77277" w:rsidRPr="00A3253C" w14:paraId="78131DE9" w14:textId="77777777" w:rsidTr="00E76312">
        <w:tc>
          <w:tcPr>
            <w:tcW w:w="471" w:type="pct"/>
            <w:vAlign w:val="center"/>
          </w:tcPr>
          <w:p w14:paraId="2D17D5B9" w14:textId="2CE9F39D" w:rsidR="00F77277" w:rsidRPr="00A3253C" w:rsidRDefault="00F77277" w:rsidP="00F77277">
            <w:pPr>
              <w:pStyle w:val="TableText"/>
            </w:pPr>
            <w:r w:rsidRPr="00A3253C">
              <w:rPr>
                <w:rFonts w:ascii="Arial" w:hAnsi="Arial" w:cs="Arial"/>
                <w:color w:val="FF0000"/>
                <w:szCs w:val="18"/>
              </w:rPr>
              <w:t>▼</w:t>
            </w:r>
          </w:p>
        </w:tc>
        <w:tc>
          <w:tcPr>
            <w:tcW w:w="1441" w:type="pct"/>
            <w:vAlign w:val="center"/>
          </w:tcPr>
          <w:p w14:paraId="066ED5C7" w14:textId="23BF7073" w:rsidR="00F77277" w:rsidRPr="00A3253C" w:rsidRDefault="00F77277" w:rsidP="00F77277">
            <w:pPr>
              <w:pStyle w:val="TableText"/>
            </w:pPr>
            <w:r w:rsidRPr="00A3253C">
              <w:rPr>
                <w:rFonts w:ascii="Arial" w:hAnsi="Arial" w:cs="Arial"/>
                <w:szCs w:val="18"/>
              </w:rPr>
              <w:t>Crude Oil - Brent</w:t>
            </w:r>
          </w:p>
        </w:tc>
        <w:tc>
          <w:tcPr>
            <w:tcW w:w="737" w:type="pct"/>
            <w:vAlign w:val="center"/>
          </w:tcPr>
          <w:p w14:paraId="650BF647" w14:textId="370739B1" w:rsidR="00F77277" w:rsidRPr="00A3253C" w:rsidRDefault="00F77277" w:rsidP="00F77277">
            <w:pPr>
              <w:pStyle w:val="TableText"/>
            </w:pPr>
            <w:r w:rsidRPr="00A3253C">
              <w:rPr>
                <w:rFonts w:ascii="Arial" w:hAnsi="Arial" w:cs="Arial"/>
                <w:szCs w:val="18"/>
              </w:rPr>
              <w:t>37.</w:t>
            </w:r>
            <w:r w:rsidR="00E76312" w:rsidRPr="00A3253C">
              <w:rPr>
                <w:rFonts w:ascii="Arial" w:hAnsi="Arial" w:cs="Arial"/>
                <w:szCs w:val="18"/>
              </w:rPr>
              <w:t>5</w:t>
            </w:r>
          </w:p>
        </w:tc>
        <w:tc>
          <w:tcPr>
            <w:tcW w:w="833" w:type="pct"/>
            <w:vAlign w:val="center"/>
          </w:tcPr>
          <w:p w14:paraId="16F3EA78" w14:textId="6A757144" w:rsidR="00F77277" w:rsidRPr="00A3253C" w:rsidRDefault="00F77277" w:rsidP="00F77277">
            <w:pPr>
              <w:pStyle w:val="TableText"/>
            </w:pPr>
            <w:r w:rsidRPr="00A3253C">
              <w:rPr>
                <w:rFonts w:ascii="Arial" w:hAnsi="Arial" w:cs="Arial"/>
                <w:szCs w:val="18"/>
              </w:rPr>
              <w:t>-8.52</w:t>
            </w:r>
          </w:p>
        </w:tc>
        <w:tc>
          <w:tcPr>
            <w:tcW w:w="728" w:type="pct"/>
            <w:vAlign w:val="center"/>
          </w:tcPr>
          <w:p w14:paraId="2676CDEB" w14:textId="7D2261AA" w:rsidR="00F77277" w:rsidRPr="00A3253C" w:rsidRDefault="00F77277" w:rsidP="00F77277">
            <w:pPr>
              <w:pStyle w:val="TableText"/>
            </w:pPr>
            <w:r w:rsidRPr="00A3253C">
              <w:rPr>
                <w:rFonts w:ascii="Arial" w:hAnsi="Arial" w:cs="Arial"/>
                <w:szCs w:val="18"/>
              </w:rPr>
              <w:t>43.30</w:t>
            </w:r>
          </w:p>
        </w:tc>
        <w:tc>
          <w:tcPr>
            <w:tcW w:w="790" w:type="pct"/>
            <w:vAlign w:val="center"/>
          </w:tcPr>
          <w:p w14:paraId="36C67F6C" w14:textId="30241CE0" w:rsidR="00F77277" w:rsidRPr="00A3253C" w:rsidRDefault="00F77277" w:rsidP="00F77277">
            <w:pPr>
              <w:pStyle w:val="TableText"/>
            </w:pPr>
            <w:r w:rsidRPr="00A3253C">
              <w:rPr>
                <w:rFonts w:ascii="Arial" w:hAnsi="Arial" w:cs="Arial"/>
                <w:szCs w:val="18"/>
              </w:rPr>
              <w:t>-13.49</w:t>
            </w:r>
          </w:p>
        </w:tc>
      </w:tr>
      <w:tr w:rsidR="00F77277" w:rsidRPr="00A3253C" w14:paraId="7EB6AA71" w14:textId="77777777" w:rsidTr="00E76312">
        <w:trPr>
          <w:cnfStyle w:val="000000010000" w:firstRow="0" w:lastRow="0" w:firstColumn="0" w:lastColumn="0" w:oddVBand="0" w:evenVBand="0" w:oddHBand="0" w:evenHBand="1" w:firstRowFirstColumn="0" w:firstRowLastColumn="0" w:lastRowFirstColumn="0" w:lastRowLastColumn="0"/>
        </w:trPr>
        <w:tc>
          <w:tcPr>
            <w:tcW w:w="471" w:type="pct"/>
            <w:vAlign w:val="center"/>
          </w:tcPr>
          <w:p w14:paraId="106F5F05" w14:textId="355327C0"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1B9D0189" w14:textId="02DC89ED" w:rsidR="00F77277" w:rsidRPr="00A3253C" w:rsidRDefault="00F77277" w:rsidP="00F77277">
            <w:pPr>
              <w:pStyle w:val="TableText"/>
            </w:pPr>
            <w:r w:rsidRPr="00A3253C">
              <w:rPr>
                <w:rFonts w:ascii="Arial" w:hAnsi="Arial" w:cs="Arial"/>
                <w:szCs w:val="18"/>
              </w:rPr>
              <w:t>Natural Gas</w:t>
            </w:r>
          </w:p>
        </w:tc>
        <w:tc>
          <w:tcPr>
            <w:tcW w:w="737" w:type="pct"/>
            <w:vAlign w:val="center"/>
          </w:tcPr>
          <w:p w14:paraId="71509984" w14:textId="6C25D92D" w:rsidR="00F77277" w:rsidRPr="00A3253C" w:rsidRDefault="00F77277" w:rsidP="00F77277">
            <w:pPr>
              <w:pStyle w:val="TableText"/>
            </w:pPr>
            <w:r w:rsidRPr="00A3253C">
              <w:rPr>
                <w:rFonts w:ascii="Arial" w:hAnsi="Arial" w:cs="Arial"/>
                <w:szCs w:val="18"/>
              </w:rPr>
              <w:t>3.35</w:t>
            </w:r>
          </w:p>
        </w:tc>
        <w:tc>
          <w:tcPr>
            <w:tcW w:w="833" w:type="pct"/>
            <w:vAlign w:val="center"/>
          </w:tcPr>
          <w:p w14:paraId="3C1E585C" w14:textId="1FBC4D6D" w:rsidR="00F77277" w:rsidRPr="00A3253C" w:rsidRDefault="00F77277" w:rsidP="00F77277">
            <w:pPr>
              <w:pStyle w:val="TableText"/>
            </w:pPr>
            <w:r w:rsidRPr="00A3253C">
              <w:rPr>
                <w:rFonts w:ascii="Arial" w:hAnsi="Arial" w:cs="Arial"/>
                <w:szCs w:val="18"/>
              </w:rPr>
              <w:t>32.73</w:t>
            </w:r>
          </w:p>
        </w:tc>
        <w:tc>
          <w:tcPr>
            <w:tcW w:w="728" w:type="pct"/>
            <w:vAlign w:val="center"/>
          </w:tcPr>
          <w:p w14:paraId="7330A18D" w14:textId="27D70DBE" w:rsidR="00F77277" w:rsidRPr="00A3253C" w:rsidRDefault="00F77277" w:rsidP="00F77277">
            <w:pPr>
              <w:pStyle w:val="TableText"/>
            </w:pPr>
            <w:r w:rsidRPr="00A3253C">
              <w:rPr>
                <w:rFonts w:ascii="Arial" w:hAnsi="Arial" w:cs="Arial"/>
                <w:szCs w:val="18"/>
              </w:rPr>
              <w:t>1.80</w:t>
            </w:r>
          </w:p>
        </w:tc>
        <w:tc>
          <w:tcPr>
            <w:tcW w:w="790" w:type="pct"/>
            <w:vAlign w:val="center"/>
          </w:tcPr>
          <w:p w14:paraId="2BB2A026" w14:textId="568AA01A" w:rsidR="00F77277" w:rsidRPr="00A3253C" w:rsidRDefault="00F77277" w:rsidP="00F77277">
            <w:pPr>
              <w:pStyle w:val="TableText"/>
            </w:pPr>
            <w:r w:rsidRPr="00A3253C">
              <w:rPr>
                <w:rFonts w:ascii="Arial" w:hAnsi="Arial" w:cs="Arial"/>
                <w:szCs w:val="18"/>
              </w:rPr>
              <w:t>86.44</w:t>
            </w:r>
          </w:p>
        </w:tc>
      </w:tr>
      <w:tr w:rsidR="00F77277" w:rsidRPr="00A3253C" w14:paraId="3D35E3FC" w14:textId="77777777" w:rsidTr="00E76312">
        <w:tc>
          <w:tcPr>
            <w:tcW w:w="471" w:type="pct"/>
            <w:vAlign w:val="center"/>
          </w:tcPr>
          <w:p w14:paraId="40B5ACAF" w14:textId="1F2CD7F2" w:rsidR="00F77277" w:rsidRPr="00A3253C" w:rsidRDefault="00F77277" w:rsidP="00F77277">
            <w:pPr>
              <w:pStyle w:val="TableText"/>
            </w:pPr>
            <w:r w:rsidRPr="00A3253C">
              <w:rPr>
                <w:rFonts w:ascii="Arial" w:hAnsi="Arial" w:cs="Arial"/>
                <w:color w:val="FF0000"/>
                <w:szCs w:val="18"/>
              </w:rPr>
              <w:t>▼</w:t>
            </w:r>
          </w:p>
        </w:tc>
        <w:tc>
          <w:tcPr>
            <w:tcW w:w="1441" w:type="pct"/>
            <w:vAlign w:val="center"/>
          </w:tcPr>
          <w:p w14:paraId="14AE8454" w14:textId="6492C0A7" w:rsidR="00F77277" w:rsidRPr="00A3253C" w:rsidRDefault="00F77277" w:rsidP="00F77277">
            <w:pPr>
              <w:pStyle w:val="TableText"/>
            </w:pPr>
            <w:r w:rsidRPr="00A3253C">
              <w:rPr>
                <w:rFonts w:ascii="Arial" w:hAnsi="Arial" w:cs="Arial"/>
                <w:szCs w:val="18"/>
              </w:rPr>
              <w:t>Coking Coal</w:t>
            </w:r>
          </w:p>
        </w:tc>
        <w:tc>
          <w:tcPr>
            <w:tcW w:w="737" w:type="pct"/>
            <w:vAlign w:val="center"/>
          </w:tcPr>
          <w:p w14:paraId="06173A53" w14:textId="7716AD10" w:rsidR="00F77277" w:rsidRPr="00A3253C" w:rsidRDefault="00F77277" w:rsidP="00F77277">
            <w:pPr>
              <w:pStyle w:val="TableText"/>
            </w:pPr>
            <w:r w:rsidRPr="00A3253C">
              <w:rPr>
                <w:rFonts w:ascii="Arial" w:hAnsi="Arial" w:cs="Arial"/>
                <w:szCs w:val="18"/>
              </w:rPr>
              <w:t>129</w:t>
            </w:r>
          </w:p>
        </w:tc>
        <w:tc>
          <w:tcPr>
            <w:tcW w:w="833" w:type="pct"/>
            <w:vAlign w:val="center"/>
          </w:tcPr>
          <w:p w14:paraId="44253148" w14:textId="084DC547" w:rsidR="00F77277" w:rsidRPr="00A3253C" w:rsidRDefault="00F77277" w:rsidP="00F77277">
            <w:pPr>
              <w:pStyle w:val="TableText"/>
            </w:pPr>
            <w:r w:rsidRPr="00A3253C">
              <w:rPr>
                <w:rFonts w:ascii="Arial" w:hAnsi="Arial" w:cs="Arial"/>
                <w:szCs w:val="18"/>
              </w:rPr>
              <w:t>-1.07</w:t>
            </w:r>
          </w:p>
        </w:tc>
        <w:tc>
          <w:tcPr>
            <w:tcW w:w="728" w:type="pct"/>
            <w:vAlign w:val="center"/>
          </w:tcPr>
          <w:p w14:paraId="61E07AA9" w14:textId="553B8262" w:rsidR="00F77277" w:rsidRPr="00A3253C" w:rsidRDefault="00F77277" w:rsidP="00F77277">
            <w:pPr>
              <w:pStyle w:val="TableText"/>
            </w:pPr>
            <w:r w:rsidRPr="00A3253C">
              <w:rPr>
                <w:rFonts w:ascii="Arial" w:hAnsi="Arial" w:cs="Arial"/>
                <w:szCs w:val="18"/>
              </w:rPr>
              <w:t>130</w:t>
            </w:r>
          </w:p>
        </w:tc>
        <w:tc>
          <w:tcPr>
            <w:tcW w:w="790" w:type="pct"/>
            <w:vAlign w:val="center"/>
          </w:tcPr>
          <w:p w14:paraId="7BCE879F" w14:textId="63867374" w:rsidR="00F77277" w:rsidRPr="00A3253C" w:rsidRDefault="00F77277" w:rsidP="00F77277">
            <w:pPr>
              <w:pStyle w:val="TableText"/>
            </w:pPr>
            <w:r w:rsidRPr="00A3253C">
              <w:rPr>
                <w:rFonts w:ascii="Arial" w:hAnsi="Arial" w:cs="Arial"/>
                <w:szCs w:val="18"/>
              </w:rPr>
              <w:t>-1.07</w:t>
            </w:r>
          </w:p>
        </w:tc>
      </w:tr>
      <w:tr w:rsidR="00F77277" w:rsidRPr="00A3253C" w14:paraId="24ED72D4" w14:textId="77777777" w:rsidTr="00E76312">
        <w:trPr>
          <w:cnfStyle w:val="000000010000" w:firstRow="0" w:lastRow="0" w:firstColumn="0" w:lastColumn="0" w:oddVBand="0" w:evenVBand="0" w:oddHBand="0" w:evenHBand="1" w:firstRowFirstColumn="0" w:firstRowLastColumn="0" w:lastRowFirstColumn="0" w:lastRowLastColumn="0"/>
        </w:trPr>
        <w:tc>
          <w:tcPr>
            <w:tcW w:w="471" w:type="pct"/>
            <w:vAlign w:val="center"/>
          </w:tcPr>
          <w:p w14:paraId="577812E3" w14:textId="28F3AB80"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34796E39" w14:textId="56358088" w:rsidR="00F77277" w:rsidRPr="00A3253C" w:rsidRDefault="00F77277" w:rsidP="00F77277">
            <w:pPr>
              <w:pStyle w:val="TableText"/>
            </w:pPr>
            <w:r w:rsidRPr="00A3253C">
              <w:rPr>
                <w:rFonts w:ascii="Arial" w:hAnsi="Arial" w:cs="Arial"/>
                <w:szCs w:val="18"/>
              </w:rPr>
              <w:t>Thermal Coal</w:t>
            </w:r>
          </w:p>
        </w:tc>
        <w:tc>
          <w:tcPr>
            <w:tcW w:w="737" w:type="pct"/>
            <w:vAlign w:val="center"/>
          </w:tcPr>
          <w:p w14:paraId="31865FCB" w14:textId="133E5F24" w:rsidR="00F77277" w:rsidRPr="00A3253C" w:rsidRDefault="00F77277" w:rsidP="00F77277">
            <w:pPr>
              <w:pStyle w:val="TableText"/>
            </w:pPr>
            <w:r w:rsidRPr="00A3253C">
              <w:rPr>
                <w:rFonts w:ascii="Arial" w:hAnsi="Arial" w:cs="Arial"/>
                <w:szCs w:val="18"/>
              </w:rPr>
              <w:t>60</w:t>
            </w:r>
          </w:p>
        </w:tc>
        <w:tc>
          <w:tcPr>
            <w:tcW w:w="833" w:type="pct"/>
            <w:vAlign w:val="center"/>
          </w:tcPr>
          <w:p w14:paraId="0B15B57B" w14:textId="2AEA368B" w:rsidR="00F77277" w:rsidRPr="00A3253C" w:rsidRDefault="00F77277" w:rsidP="00F77277">
            <w:pPr>
              <w:pStyle w:val="TableText"/>
            </w:pPr>
            <w:r w:rsidRPr="00A3253C">
              <w:rPr>
                <w:rFonts w:ascii="Arial" w:hAnsi="Arial" w:cs="Arial"/>
                <w:szCs w:val="18"/>
              </w:rPr>
              <w:t>4.00</w:t>
            </w:r>
          </w:p>
        </w:tc>
        <w:tc>
          <w:tcPr>
            <w:tcW w:w="728" w:type="pct"/>
            <w:vAlign w:val="center"/>
          </w:tcPr>
          <w:p w14:paraId="5ADFF524" w14:textId="57BC2127" w:rsidR="00F77277" w:rsidRPr="00A3253C" w:rsidRDefault="00F77277" w:rsidP="00F77277">
            <w:pPr>
              <w:pStyle w:val="TableText"/>
            </w:pPr>
            <w:r w:rsidRPr="00A3253C">
              <w:rPr>
                <w:rFonts w:ascii="Arial" w:hAnsi="Arial" w:cs="Arial"/>
                <w:szCs w:val="18"/>
              </w:rPr>
              <w:t>51</w:t>
            </w:r>
          </w:p>
        </w:tc>
        <w:tc>
          <w:tcPr>
            <w:tcW w:w="790" w:type="pct"/>
            <w:vAlign w:val="center"/>
          </w:tcPr>
          <w:p w14:paraId="5CCC4E87" w14:textId="1DACED85" w:rsidR="00F77277" w:rsidRPr="00A3253C" w:rsidRDefault="00F77277" w:rsidP="00F77277">
            <w:pPr>
              <w:pStyle w:val="TableText"/>
            </w:pPr>
            <w:r w:rsidRPr="00A3253C">
              <w:rPr>
                <w:rFonts w:ascii="Arial" w:hAnsi="Arial" w:cs="Arial"/>
                <w:szCs w:val="18"/>
              </w:rPr>
              <w:t>19.26</w:t>
            </w:r>
          </w:p>
        </w:tc>
      </w:tr>
      <w:tr w:rsidR="00F77277" w:rsidRPr="00A3253C" w14:paraId="637BEA33" w14:textId="77777777" w:rsidTr="00E76312">
        <w:tc>
          <w:tcPr>
            <w:tcW w:w="471" w:type="pct"/>
            <w:vAlign w:val="center"/>
          </w:tcPr>
          <w:p w14:paraId="445AE411" w14:textId="1D119CBA" w:rsidR="00F77277" w:rsidRPr="00A3253C" w:rsidRDefault="00F77277" w:rsidP="00F77277">
            <w:pPr>
              <w:pStyle w:val="TableText"/>
            </w:pPr>
            <w:r w:rsidRPr="00A3253C">
              <w:rPr>
                <w:rFonts w:ascii="Arial" w:hAnsi="Arial" w:cs="Arial"/>
                <w:color w:val="FF0000"/>
                <w:szCs w:val="18"/>
              </w:rPr>
              <w:t>▼</w:t>
            </w:r>
          </w:p>
        </w:tc>
        <w:tc>
          <w:tcPr>
            <w:tcW w:w="1441" w:type="pct"/>
            <w:vAlign w:val="center"/>
          </w:tcPr>
          <w:p w14:paraId="6DEC2ABA" w14:textId="34EB490D" w:rsidR="00F77277" w:rsidRPr="00A3253C" w:rsidRDefault="00F77277" w:rsidP="00F77277">
            <w:pPr>
              <w:pStyle w:val="TableText"/>
            </w:pPr>
            <w:r w:rsidRPr="00A3253C">
              <w:rPr>
                <w:rFonts w:ascii="Arial" w:hAnsi="Arial" w:cs="Arial"/>
                <w:szCs w:val="18"/>
              </w:rPr>
              <w:t>Iron Ore</w:t>
            </w:r>
          </w:p>
        </w:tc>
        <w:tc>
          <w:tcPr>
            <w:tcW w:w="737" w:type="pct"/>
            <w:vAlign w:val="center"/>
          </w:tcPr>
          <w:p w14:paraId="18301783" w14:textId="633AA1B7" w:rsidR="00F77277" w:rsidRPr="00A3253C" w:rsidRDefault="00F77277" w:rsidP="00F77277">
            <w:pPr>
              <w:pStyle w:val="TableText"/>
            </w:pPr>
            <w:r w:rsidRPr="00A3253C">
              <w:rPr>
                <w:rFonts w:ascii="Arial" w:hAnsi="Arial" w:cs="Arial"/>
                <w:szCs w:val="18"/>
              </w:rPr>
              <w:t>120.</w:t>
            </w:r>
            <w:r w:rsidR="00E76312" w:rsidRPr="00A3253C">
              <w:rPr>
                <w:rFonts w:ascii="Arial" w:hAnsi="Arial" w:cs="Arial"/>
                <w:szCs w:val="18"/>
              </w:rPr>
              <w:t>2</w:t>
            </w:r>
          </w:p>
        </w:tc>
        <w:tc>
          <w:tcPr>
            <w:tcW w:w="833" w:type="pct"/>
            <w:vAlign w:val="center"/>
          </w:tcPr>
          <w:p w14:paraId="0802AC79" w14:textId="74C4EEE9" w:rsidR="00F77277" w:rsidRPr="00A3253C" w:rsidRDefault="00F77277" w:rsidP="00F77277">
            <w:pPr>
              <w:pStyle w:val="TableText"/>
            </w:pPr>
            <w:r w:rsidRPr="00A3253C">
              <w:rPr>
                <w:rFonts w:ascii="Arial" w:hAnsi="Arial" w:cs="Arial"/>
                <w:szCs w:val="18"/>
              </w:rPr>
              <w:t>-3.06</w:t>
            </w:r>
          </w:p>
        </w:tc>
        <w:tc>
          <w:tcPr>
            <w:tcW w:w="728" w:type="pct"/>
            <w:vAlign w:val="center"/>
          </w:tcPr>
          <w:p w14:paraId="699F540E" w14:textId="5B5ACAF6" w:rsidR="00F77277" w:rsidRPr="00A3253C" w:rsidRDefault="00F77277" w:rsidP="00F77277">
            <w:pPr>
              <w:pStyle w:val="TableText"/>
            </w:pPr>
            <w:r w:rsidRPr="00A3253C">
              <w:rPr>
                <w:rFonts w:ascii="Arial" w:hAnsi="Arial" w:cs="Arial"/>
                <w:szCs w:val="18"/>
              </w:rPr>
              <w:t>108.9</w:t>
            </w:r>
          </w:p>
        </w:tc>
        <w:tc>
          <w:tcPr>
            <w:tcW w:w="790" w:type="pct"/>
            <w:vAlign w:val="center"/>
          </w:tcPr>
          <w:p w14:paraId="20687C79" w14:textId="511921F3" w:rsidR="00F77277" w:rsidRPr="00A3253C" w:rsidRDefault="00F77277" w:rsidP="00F77277">
            <w:pPr>
              <w:pStyle w:val="TableText"/>
            </w:pPr>
            <w:r w:rsidRPr="00A3253C">
              <w:rPr>
                <w:rFonts w:ascii="Arial" w:hAnsi="Arial" w:cs="Arial"/>
                <w:szCs w:val="18"/>
              </w:rPr>
              <w:t>10.37</w:t>
            </w:r>
          </w:p>
        </w:tc>
      </w:tr>
      <w:tr w:rsidR="00F77277" w:rsidRPr="00A3253C" w14:paraId="0A54F4AB" w14:textId="77777777" w:rsidTr="00E76312">
        <w:trPr>
          <w:cnfStyle w:val="000000010000" w:firstRow="0" w:lastRow="0" w:firstColumn="0" w:lastColumn="0" w:oddVBand="0" w:evenVBand="0" w:oddHBand="0" w:evenHBand="1" w:firstRowFirstColumn="0" w:firstRowLastColumn="0" w:lastRowFirstColumn="0" w:lastRowLastColumn="0"/>
        </w:trPr>
        <w:tc>
          <w:tcPr>
            <w:tcW w:w="471" w:type="pct"/>
            <w:vAlign w:val="center"/>
          </w:tcPr>
          <w:p w14:paraId="23D481DE" w14:textId="26DEB9C9" w:rsidR="00F77277" w:rsidRPr="00A3253C" w:rsidRDefault="00F77277" w:rsidP="00F77277">
            <w:pPr>
              <w:pStyle w:val="TableText"/>
            </w:pPr>
            <w:r w:rsidRPr="00A3253C">
              <w:rPr>
                <w:rFonts w:ascii="Arial" w:hAnsi="Arial" w:cs="Arial"/>
                <w:color w:val="FF0000"/>
                <w:szCs w:val="18"/>
              </w:rPr>
              <w:t>▼</w:t>
            </w:r>
          </w:p>
        </w:tc>
        <w:tc>
          <w:tcPr>
            <w:tcW w:w="1441" w:type="pct"/>
            <w:vAlign w:val="center"/>
          </w:tcPr>
          <w:p w14:paraId="2A86E53C" w14:textId="527BE035" w:rsidR="00F77277" w:rsidRPr="00A3253C" w:rsidRDefault="00F77277" w:rsidP="00F77277">
            <w:pPr>
              <w:pStyle w:val="TableText"/>
            </w:pPr>
            <w:r w:rsidRPr="00A3253C">
              <w:rPr>
                <w:rFonts w:ascii="Arial" w:hAnsi="Arial" w:cs="Arial"/>
                <w:szCs w:val="18"/>
              </w:rPr>
              <w:t>Gold</w:t>
            </w:r>
          </w:p>
        </w:tc>
        <w:tc>
          <w:tcPr>
            <w:tcW w:w="737" w:type="pct"/>
            <w:vAlign w:val="center"/>
          </w:tcPr>
          <w:p w14:paraId="1415027F" w14:textId="62C44276" w:rsidR="00F77277" w:rsidRPr="00A3253C" w:rsidRDefault="00F77277" w:rsidP="00F77277">
            <w:pPr>
              <w:pStyle w:val="TableText"/>
            </w:pPr>
            <w:r w:rsidRPr="00A3253C">
              <w:rPr>
                <w:rFonts w:ascii="Arial" w:hAnsi="Arial" w:cs="Arial"/>
                <w:szCs w:val="18"/>
              </w:rPr>
              <w:t>1880</w:t>
            </w:r>
          </w:p>
        </w:tc>
        <w:tc>
          <w:tcPr>
            <w:tcW w:w="833" w:type="pct"/>
            <w:vAlign w:val="center"/>
          </w:tcPr>
          <w:p w14:paraId="050D717F" w14:textId="3006FFF9" w:rsidR="00F77277" w:rsidRPr="00A3253C" w:rsidRDefault="00F77277" w:rsidP="00F77277">
            <w:pPr>
              <w:pStyle w:val="TableText"/>
            </w:pPr>
            <w:r w:rsidRPr="00A3253C">
              <w:rPr>
                <w:rFonts w:ascii="Arial" w:hAnsi="Arial" w:cs="Arial"/>
                <w:szCs w:val="18"/>
              </w:rPr>
              <w:t>-0.82</w:t>
            </w:r>
          </w:p>
        </w:tc>
        <w:tc>
          <w:tcPr>
            <w:tcW w:w="728" w:type="pct"/>
            <w:vAlign w:val="center"/>
          </w:tcPr>
          <w:p w14:paraId="6FC7C0D1" w14:textId="0EB37545" w:rsidR="00F77277" w:rsidRPr="00A3253C" w:rsidRDefault="00F77277" w:rsidP="00F77277">
            <w:pPr>
              <w:pStyle w:val="TableText"/>
            </w:pPr>
            <w:r w:rsidRPr="00A3253C">
              <w:rPr>
                <w:rFonts w:ascii="Arial" w:hAnsi="Arial" w:cs="Arial"/>
                <w:szCs w:val="18"/>
              </w:rPr>
              <w:t>1986</w:t>
            </w:r>
          </w:p>
        </w:tc>
        <w:tc>
          <w:tcPr>
            <w:tcW w:w="790" w:type="pct"/>
            <w:vAlign w:val="center"/>
          </w:tcPr>
          <w:p w14:paraId="5D3D0E28" w14:textId="300DB323" w:rsidR="00F77277" w:rsidRPr="00A3253C" w:rsidRDefault="00F77277" w:rsidP="00F77277">
            <w:pPr>
              <w:pStyle w:val="TableText"/>
            </w:pPr>
            <w:r w:rsidRPr="00A3253C">
              <w:rPr>
                <w:rFonts w:ascii="Arial" w:hAnsi="Arial" w:cs="Arial"/>
                <w:szCs w:val="18"/>
              </w:rPr>
              <w:t>-5.34</w:t>
            </w:r>
          </w:p>
        </w:tc>
      </w:tr>
      <w:tr w:rsidR="00F77277" w:rsidRPr="00A3253C" w14:paraId="76BCA11B" w14:textId="77777777" w:rsidTr="00E76312">
        <w:tc>
          <w:tcPr>
            <w:tcW w:w="471" w:type="pct"/>
            <w:vAlign w:val="center"/>
          </w:tcPr>
          <w:p w14:paraId="783AF951" w14:textId="02D1B76C" w:rsidR="00F77277" w:rsidRPr="00A3253C" w:rsidRDefault="00F77277" w:rsidP="00F77277">
            <w:pPr>
              <w:pStyle w:val="TableText"/>
            </w:pPr>
            <w:r w:rsidRPr="00A3253C">
              <w:rPr>
                <w:rFonts w:ascii="Arial" w:hAnsi="Arial" w:cs="Arial"/>
                <w:color w:val="00B050"/>
                <w:szCs w:val="18"/>
              </w:rPr>
              <w:t>▲</w:t>
            </w:r>
          </w:p>
        </w:tc>
        <w:tc>
          <w:tcPr>
            <w:tcW w:w="1441" w:type="pct"/>
            <w:vAlign w:val="center"/>
          </w:tcPr>
          <w:p w14:paraId="097B9748" w14:textId="4F5AFECB" w:rsidR="00F77277" w:rsidRPr="00A3253C" w:rsidRDefault="00F77277" w:rsidP="00F77277">
            <w:pPr>
              <w:pStyle w:val="TableText"/>
            </w:pPr>
            <w:r w:rsidRPr="00A3253C">
              <w:rPr>
                <w:rFonts w:ascii="Arial" w:hAnsi="Arial" w:cs="Arial"/>
                <w:szCs w:val="18"/>
              </w:rPr>
              <w:t>Silver</w:t>
            </w:r>
          </w:p>
        </w:tc>
        <w:tc>
          <w:tcPr>
            <w:tcW w:w="737" w:type="pct"/>
            <w:vAlign w:val="center"/>
          </w:tcPr>
          <w:p w14:paraId="65676C90" w14:textId="66FF0968" w:rsidR="00F77277" w:rsidRPr="00A3253C" w:rsidRDefault="00F77277" w:rsidP="00F77277">
            <w:pPr>
              <w:pStyle w:val="TableText"/>
            </w:pPr>
            <w:r w:rsidRPr="00A3253C">
              <w:rPr>
                <w:rFonts w:ascii="Arial" w:hAnsi="Arial" w:cs="Arial"/>
                <w:szCs w:val="18"/>
              </w:rPr>
              <w:t>24</w:t>
            </w:r>
          </w:p>
        </w:tc>
        <w:tc>
          <w:tcPr>
            <w:tcW w:w="833" w:type="pct"/>
            <w:vAlign w:val="center"/>
          </w:tcPr>
          <w:p w14:paraId="4BBCAE1F" w14:textId="1150CA53" w:rsidR="00F77277" w:rsidRPr="00A3253C" w:rsidRDefault="00F77277" w:rsidP="00F77277">
            <w:pPr>
              <w:pStyle w:val="TableText"/>
            </w:pPr>
            <w:r w:rsidRPr="00A3253C">
              <w:rPr>
                <w:rFonts w:ascii="Arial" w:hAnsi="Arial" w:cs="Arial"/>
                <w:szCs w:val="18"/>
              </w:rPr>
              <w:t>0.65</w:t>
            </w:r>
          </w:p>
        </w:tc>
        <w:tc>
          <w:tcPr>
            <w:tcW w:w="728" w:type="pct"/>
            <w:vAlign w:val="center"/>
          </w:tcPr>
          <w:p w14:paraId="2070C4FD" w14:textId="254ADDA8" w:rsidR="00F77277" w:rsidRPr="00A3253C" w:rsidRDefault="00F77277" w:rsidP="00F77277">
            <w:pPr>
              <w:pStyle w:val="TableText"/>
            </w:pPr>
            <w:r w:rsidRPr="00A3253C">
              <w:rPr>
                <w:rFonts w:ascii="Arial" w:hAnsi="Arial" w:cs="Arial"/>
                <w:szCs w:val="18"/>
              </w:rPr>
              <w:t>24</w:t>
            </w:r>
          </w:p>
        </w:tc>
        <w:tc>
          <w:tcPr>
            <w:tcW w:w="790" w:type="pct"/>
            <w:vAlign w:val="center"/>
          </w:tcPr>
          <w:p w14:paraId="2141DCB4" w14:textId="0BE17A8D" w:rsidR="00F77277" w:rsidRPr="00A3253C" w:rsidRDefault="00F77277" w:rsidP="00F77277">
            <w:pPr>
              <w:pStyle w:val="TableText"/>
            </w:pPr>
            <w:r w:rsidRPr="00A3253C">
              <w:rPr>
                <w:rFonts w:ascii="Arial" w:hAnsi="Arial" w:cs="Arial"/>
                <w:szCs w:val="18"/>
              </w:rPr>
              <w:t>-3.36</w:t>
            </w:r>
          </w:p>
        </w:tc>
      </w:tr>
    </w:tbl>
    <w:p w14:paraId="42C57B2C" w14:textId="77777777" w:rsidR="00E06B70" w:rsidRPr="00A3253C" w:rsidRDefault="00E06B70" w:rsidP="00243AA4">
      <w:pPr>
        <w:pStyle w:val="BodyText"/>
      </w:pPr>
      <w:r w:rsidRPr="00A3253C">
        <w:t>Source: Bloomberg, IOOF</w:t>
      </w:r>
    </w:p>
    <w:p w14:paraId="28A8DAB3" w14:textId="51F1CE17" w:rsidR="00E06B70" w:rsidRPr="00A3253C" w:rsidRDefault="00E06B70" w:rsidP="00243AA4">
      <w:pPr>
        <w:pStyle w:val="BodyText"/>
      </w:pPr>
      <w:r w:rsidRPr="00A3253C">
        <w:rPr>
          <w:b/>
          <w:bCs/>
        </w:rPr>
        <w:t xml:space="preserve">Oil </w:t>
      </w:r>
      <w:r w:rsidRPr="00A3253C">
        <w:t xml:space="preserve">prices </w:t>
      </w:r>
      <w:r w:rsidR="00CF1AAA" w:rsidRPr="00A3253C">
        <w:t xml:space="preserve">weakened substantially in October driven by expectations of tighter lockdown restrictions in Europe. Some of these had already begun in October for smaller countries such as Ireland. </w:t>
      </w:r>
      <w:r w:rsidRPr="00A3253C">
        <w:t xml:space="preserve"> </w:t>
      </w:r>
      <w:r w:rsidR="00CF1AAA" w:rsidRPr="00A3253C">
        <w:t xml:space="preserve"> New lockdown measures restrict people’s mobility lowering demand for automotive fuel and crimp what had been a nascent recovery in travel, lowering jet fuel usage. A faster-than-expected return to production from Libyan fields also pressured </w:t>
      </w:r>
      <w:r w:rsidR="00E76312" w:rsidRPr="00A3253C">
        <w:t>prices by increasing oil supply.</w:t>
      </w:r>
    </w:p>
    <w:p w14:paraId="70DADCFE" w14:textId="67E30FBD" w:rsidR="00E06B70" w:rsidRPr="00A3253C" w:rsidRDefault="00E06B70" w:rsidP="00243AA4">
      <w:pPr>
        <w:pStyle w:val="BodyText"/>
      </w:pPr>
      <w:r w:rsidRPr="00A3253C">
        <w:rPr>
          <w:b/>
          <w:bCs/>
        </w:rPr>
        <w:t>Natural Gas</w:t>
      </w:r>
      <w:r w:rsidRPr="00A3253C">
        <w:t xml:space="preserve"> (an important Australian export) </w:t>
      </w:r>
      <w:r w:rsidR="00E76312" w:rsidRPr="00A3253C">
        <w:t>prices surged. This continued their recovery from March and was driven by ongoing speculation over weaker US production with US firms cutting capital spending and on track for production substantially below Winter 2019/20 levels.</w:t>
      </w:r>
    </w:p>
    <w:p w14:paraId="175CDF8E" w14:textId="162736D2" w:rsidR="00E06B70" w:rsidRPr="00A3253C" w:rsidRDefault="00E06B70" w:rsidP="00243AA4">
      <w:pPr>
        <w:pStyle w:val="BodyText"/>
      </w:pPr>
      <w:r w:rsidRPr="00A3253C">
        <w:rPr>
          <w:b/>
          <w:bCs/>
        </w:rPr>
        <w:t>Precious metals</w:t>
      </w:r>
      <w:r w:rsidRPr="00A3253C">
        <w:t xml:space="preserve"> </w:t>
      </w:r>
      <w:r w:rsidR="00E76312" w:rsidRPr="00A3253C">
        <w:t>specifically gold struggled against a stronger</w:t>
      </w:r>
      <w:r w:rsidRPr="00A3253C">
        <w:t xml:space="preserve"> real yield (bond yield after inflation) environment following </w:t>
      </w:r>
      <w:r w:rsidR="00E76312" w:rsidRPr="00A3253C">
        <w:t>rising US bond yields.</w:t>
      </w:r>
      <w:r w:rsidRPr="00A3253C">
        <w:t xml:space="preserve"> </w:t>
      </w:r>
    </w:p>
    <w:p w14:paraId="45747F93" w14:textId="3F2999FE" w:rsidR="00575FB9" w:rsidRPr="00A3253C" w:rsidRDefault="00E06B70" w:rsidP="00243AA4">
      <w:pPr>
        <w:pStyle w:val="BodyText"/>
      </w:pPr>
      <w:r w:rsidRPr="00A3253C">
        <w:rPr>
          <w:b/>
          <w:bCs/>
        </w:rPr>
        <w:t>Aluminium prices</w:t>
      </w:r>
      <w:r w:rsidRPr="00A3253C">
        <w:t xml:space="preserve"> </w:t>
      </w:r>
      <w:r w:rsidR="00E76312" w:rsidRPr="00A3253C">
        <w:t xml:space="preserve">continued to be supported by demand from China and resilience in global manufacturing with the Markit Global Aluminium Users PMI now at 55.6, its highest since Dec-10. </w:t>
      </w:r>
      <w:r w:rsidR="00E76312" w:rsidRPr="00A3253C">
        <w:rPr>
          <w:b/>
          <w:bCs/>
        </w:rPr>
        <w:t>Iron ore prices</w:t>
      </w:r>
      <w:r w:rsidR="00E76312" w:rsidRPr="00A3253C">
        <w:t xml:space="preserve"> were also supported by Chinese demand, with the Markit Steel PMI also at its highest since Dec-10.</w:t>
      </w:r>
      <w:r w:rsidRPr="00A3253C">
        <w:t xml:space="preserve"> </w:t>
      </w:r>
    </w:p>
    <w:p w14:paraId="5DDB1811" w14:textId="77777777" w:rsidR="00E06B70" w:rsidRPr="00A3253C" w:rsidRDefault="00E06B70" w:rsidP="00575FB9">
      <w:pPr>
        <w:pStyle w:val="Heading2"/>
      </w:pPr>
      <w:r w:rsidRPr="00A3253C">
        <w:lastRenderedPageBreak/>
        <w:t>Australia</w:t>
      </w:r>
    </w:p>
    <w:p w14:paraId="39373F6F" w14:textId="4632FB22" w:rsidR="00E06B70" w:rsidRPr="00A3253C" w:rsidRDefault="00FC1FEE" w:rsidP="00585F8F">
      <w:pPr>
        <w:pStyle w:val="PulloutBoxText"/>
      </w:pPr>
      <w:r w:rsidRPr="00A3253C">
        <w:t xml:space="preserve">The FY21 Federal Budget was well-received with consumer and business confidence recovering strongly. RBA policy measures will be supportive of the necessary deficit spending at a State and Federal level while stronger volumes </w:t>
      </w:r>
      <w:r w:rsidR="0028507B" w:rsidRPr="00A3253C">
        <w:t>suggest</w:t>
      </w:r>
      <w:r w:rsidRPr="00A3253C">
        <w:t xml:space="preserve"> the retail environment (and consumer spending) remain favourable even with the drag of Victorian lockdowns. As noted by the RBA, it likely the economy </w:t>
      </w:r>
      <w:r w:rsidR="0028507B" w:rsidRPr="00A3253C">
        <w:t>exited</w:t>
      </w:r>
      <w:r w:rsidRPr="00A3253C">
        <w:t xml:space="preserve"> recession </w:t>
      </w:r>
      <w:r w:rsidR="0028507B" w:rsidRPr="00A3253C">
        <w:t xml:space="preserve">with positive growth </w:t>
      </w:r>
      <w:r w:rsidRPr="00A3253C">
        <w:t xml:space="preserve">during the September </w:t>
      </w:r>
      <w:r w:rsidR="0028507B" w:rsidRPr="00A3253C">
        <w:t>quarter.</w:t>
      </w:r>
    </w:p>
    <w:p w14:paraId="661590B6" w14:textId="77777777" w:rsidR="00D016AE" w:rsidRDefault="00D016AE" w:rsidP="00575FB9">
      <w:pPr>
        <w:pStyle w:val="Heading3"/>
      </w:pPr>
    </w:p>
    <w:p w14:paraId="378E6594" w14:textId="01FD1B86" w:rsidR="00E06B70" w:rsidRPr="00A3253C" w:rsidRDefault="00E06B70" w:rsidP="00575FB9">
      <w:pPr>
        <w:pStyle w:val="Heading3"/>
      </w:pPr>
      <w:r w:rsidRPr="00A3253C">
        <w:t>Policy</w:t>
      </w:r>
    </w:p>
    <w:p w14:paraId="6CDBA33F" w14:textId="22BD2C6A" w:rsidR="00E06B70" w:rsidRPr="00A3253C" w:rsidRDefault="0028507B" w:rsidP="00243AA4">
      <w:pPr>
        <w:pStyle w:val="BodyText"/>
      </w:pPr>
      <w:r w:rsidRPr="00A3253C">
        <w:t xml:space="preserve">As mentioned earlier the RBA has cut the cash rate by 0.15% to a record low of 0.1% in line with our remarks for the September quarterly. This move also coincided with a lowering of its target for 3-year government bond yields over the next few years with a return to higher rates only expected with a materially tighter labour market (i.e. unemployment below 5%) and sustained inflation in its target band, an outcome we are some years from </w:t>
      </w:r>
      <w:r w:rsidR="0048688B" w:rsidRPr="00A3253C">
        <w:t>realising</w:t>
      </w:r>
      <w:r w:rsidRPr="00A3253C">
        <w:t>.</w:t>
      </w:r>
    </w:p>
    <w:p w14:paraId="4E5D9189" w14:textId="7F909E54" w:rsidR="009C3652" w:rsidRPr="00A3253C" w:rsidRDefault="009C3652" w:rsidP="00243AA4">
      <w:pPr>
        <w:pStyle w:val="BodyText"/>
      </w:pPr>
      <w:r w:rsidRPr="00A3253C">
        <w:t xml:space="preserve">The Jobseeker </w:t>
      </w:r>
      <w:r w:rsidR="00B44A34" w:rsidRPr="00A3253C">
        <w:t>payment</w:t>
      </w:r>
      <w:r w:rsidRPr="00A3253C">
        <w:t xml:space="preserve"> at a lower rate </w:t>
      </w:r>
      <w:r w:rsidR="00B44A34" w:rsidRPr="00A3253C">
        <w:t xml:space="preserve">of $715 per fortnight has been extended </w:t>
      </w:r>
      <w:r w:rsidRPr="00A3253C">
        <w:t>until March 2021</w:t>
      </w:r>
      <w:r w:rsidR="00B44A34" w:rsidRPr="00A3253C">
        <w:t>. Initially the coronavirus supplement payment was $550, currently $250 and will fall to $150 for the March quarter</w:t>
      </w:r>
      <w:r w:rsidRPr="00A3253C">
        <w:t>. This is</w:t>
      </w:r>
      <w:r w:rsidR="00B44A34" w:rsidRPr="00A3253C">
        <w:t xml:space="preserve"> </w:t>
      </w:r>
      <w:r w:rsidRPr="00A3253C">
        <w:t xml:space="preserve">supportive for </w:t>
      </w:r>
      <w:r w:rsidR="00D016AE">
        <w:t>the economy</w:t>
      </w:r>
      <w:r w:rsidRPr="00A3253C">
        <w:t xml:space="preserve"> as it </w:t>
      </w:r>
      <w:r w:rsidR="00D016AE">
        <w:t>supports</w:t>
      </w:r>
      <w:r w:rsidRPr="00A3253C">
        <w:t xml:space="preserve"> </w:t>
      </w:r>
      <w:r w:rsidR="00B44A34" w:rsidRPr="00A3253C">
        <w:t xml:space="preserve">consumers with a higher </w:t>
      </w:r>
      <w:r w:rsidR="00D016AE">
        <w:t>tendency</w:t>
      </w:r>
      <w:r w:rsidR="00B44A34" w:rsidRPr="00A3253C">
        <w:t xml:space="preserve"> to spend.</w:t>
      </w:r>
    </w:p>
    <w:p w14:paraId="03E40AD0" w14:textId="77777777" w:rsidR="00E06B70" w:rsidRPr="00A3253C" w:rsidRDefault="00E06B70" w:rsidP="00575FB9">
      <w:pPr>
        <w:pStyle w:val="Heading3"/>
      </w:pPr>
      <w:r w:rsidRPr="00A3253C">
        <w:t>Business sector</w:t>
      </w:r>
    </w:p>
    <w:p w14:paraId="7F80E04C" w14:textId="77777777" w:rsidR="0059238F" w:rsidRPr="00A3253C" w:rsidRDefault="00E06B70" w:rsidP="0059238F">
      <w:pPr>
        <w:pStyle w:val="BodyText"/>
      </w:pPr>
      <w:r w:rsidRPr="00A3253C">
        <w:t xml:space="preserve">Business sentiment and activity </w:t>
      </w:r>
      <w:r w:rsidR="0048688B" w:rsidRPr="00A3253C">
        <w:t>improved into October. According to the NAB Monthly Business Survey, confidence rose to 5 points, its highest since mid-2019 with business conditions entered positive territory for the first time in several month</w:t>
      </w:r>
      <w:r w:rsidR="003963D4" w:rsidRPr="00A3253C">
        <w:t>s</w:t>
      </w:r>
      <w:r w:rsidR="0048688B" w:rsidRPr="00A3253C">
        <w:t>.</w:t>
      </w:r>
      <w:r w:rsidR="003963D4" w:rsidRPr="00A3253C">
        <w:t xml:space="preserve"> Further increases in trading and profitability drove the business conditions higher as Victoria exiting lockdown restrictions served as a notable tailwind. However, the employment index continues to suggest pressure on jobs growth in the near term.</w:t>
      </w:r>
      <w:r w:rsidR="009C3652" w:rsidRPr="00A3253C">
        <w:t xml:space="preserve"> As noted in our previous update, capacity utilisation below its pre-Covid or long-term average levels suggests the investment spending boom the government was hoping for may take more time to be realised (if it ultimately occurs).</w:t>
      </w:r>
    </w:p>
    <w:p w14:paraId="5D1307F7" w14:textId="5C6A9271" w:rsidR="00E06B70" w:rsidRPr="00A3253C" w:rsidRDefault="00B44A34" w:rsidP="0059238F">
      <w:pPr>
        <w:pStyle w:val="BodyText"/>
        <w:rPr>
          <w:b/>
          <w:bCs/>
        </w:rPr>
      </w:pPr>
      <w:r w:rsidRPr="00A3253C">
        <w:rPr>
          <w:b/>
          <w:bCs/>
        </w:rPr>
        <w:t>Growth outlook</w:t>
      </w:r>
    </w:p>
    <w:p w14:paraId="0380378B" w14:textId="61DD5D88" w:rsidR="00683484" w:rsidRPr="00A3253C" w:rsidRDefault="00E06B70" w:rsidP="00683484">
      <w:pPr>
        <w:pStyle w:val="BodyText"/>
      </w:pPr>
      <w:r w:rsidRPr="00A3253C">
        <w:t xml:space="preserve">The Westpac-Melbourne Institute </w:t>
      </w:r>
      <w:r w:rsidR="00683484" w:rsidRPr="00A3253C">
        <w:t xml:space="preserve">Leading </w:t>
      </w:r>
      <w:r w:rsidRPr="00A3253C">
        <w:t xml:space="preserve">Index </w:t>
      </w:r>
      <w:r w:rsidR="00683484" w:rsidRPr="00A3253C">
        <w:t xml:space="preserve">rose to -0.48% in September, up from -2.28% in August. </w:t>
      </w:r>
      <w:r w:rsidR="00683484" w:rsidRPr="00A3253C">
        <w:t xml:space="preserve">Stronger US industrial production, rising hours worked domestically and improvements in consumer confidence were all notable drivers of this recovery. It is expected to improve further in the months ahead following recent stimulus announcements with the bringing forward of personal income tax cuts expected to support consumer spending in Westpac’s view. </w:t>
      </w:r>
    </w:p>
    <w:p w14:paraId="4053EABB" w14:textId="1FCFD92A" w:rsidR="00E06B70" w:rsidRPr="00A3253C" w:rsidRDefault="00683484" w:rsidP="00683484">
      <w:pPr>
        <w:pStyle w:val="BodyText"/>
        <w:rPr>
          <w:b/>
          <w:bCs/>
        </w:rPr>
      </w:pPr>
      <w:r w:rsidRPr="00A3253C">
        <w:rPr>
          <w:b/>
          <w:bCs/>
        </w:rPr>
        <w:t>Inflation</w:t>
      </w:r>
    </w:p>
    <w:p w14:paraId="5EDBFCB8" w14:textId="575582AB" w:rsidR="00683484" w:rsidRPr="00A3253C" w:rsidRDefault="00683484" w:rsidP="00683484">
      <w:pPr>
        <w:pStyle w:val="BodyText"/>
      </w:pPr>
      <w:r w:rsidRPr="00A3253C">
        <w:t>Headline inflation rose 1.6% in the September quarter or 0.7% for the year to September. This was a notable recovery from the deflation in the June quarter which had been driven by lockdown restrictions</w:t>
      </w:r>
      <w:r w:rsidR="00D016AE">
        <w:t xml:space="preserve"> and the temporary government</w:t>
      </w:r>
      <w:r w:rsidRPr="00A3253C">
        <w:t xml:space="preserve"> offer </w:t>
      </w:r>
      <w:r w:rsidR="00D016AE">
        <w:t xml:space="preserve">of </w:t>
      </w:r>
      <w:r w:rsidRPr="00A3253C">
        <w:t>free childcar</w:t>
      </w:r>
      <w:r w:rsidR="00D016AE">
        <w:t>e</w:t>
      </w:r>
      <w:r w:rsidRPr="00A3253C">
        <w:t xml:space="preserve">. </w:t>
      </w:r>
    </w:p>
    <w:p w14:paraId="7B6AFD76" w14:textId="418B2F74" w:rsidR="00683484" w:rsidRPr="00A3253C" w:rsidRDefault="00683484" w:rsidP="00683484">
      <w:pPr>
        <w:pStyle w:val="BodyText"/>
      </w:pPr>
      <w:r w:rsidRPr="00A3253C">
        <w:t>Results from the NAB Monthly Business Survey suggest subdued inflationary pressures from businesses while wage inflation is also subdued given the backdrop of higher unemployment.</w:t>
      </w:r>
    </w:p>
    <w:p w14:paraId="7549024B" w14:textId="687BABF3" w:rsidR="00683484" w:rsidRPr="00A3253C" w:rsidRDefault="00683484" w:rsidP="00683484">
      <w:pPr>
        <w:pStyle w:val="BodyText"/>
        <w:rPr>
          <w:b/>
          <w:bCs/>
        </w:rPr>
      </w:pPr>
      <w:r w:rsidRPr="00A3253C">
        <w:rPr>
          <w:b/>
          <w:bCs/>
        </w:rPr>
        <w:t>Retail sales</w:t>
      </w:r>
    </w:p>
    <w:p w14:paraId="32E6C829" w14:textId="67FC530D" w:rsidR="00683484" w:rsidRPr="00A3253C" w:rsidRDefault="00683484" w:rsidP="00683484">
      <w:pPr>
        <w:pStyle w:val="BodyText"/>
      </w:pPr>
      <w:r w:rsidRPr="00A3253C">
        <w:t xml:space="preserve">Retail sales for the September quarter showed a marked recovery as consumer spending, supported by stimulus, rose strongly following the lifting of lockdown restrictions. On a volume basis, retail turnover rose 6.5% for the quarter and 4.2% for the year to September. This came against a backdrop of </w:t>
      </w:r>
      <w:r w:rsidR="0059238F" w:rsidRPr="00A3253C">
        <w:t xml:space="preserve">a second wave of cases within Victoria and the need for a severe lockdown particularly in Melbourne. Strong levels of consumer confidence noted in our last update should support consumer spending as will the lifting of Victorian restrictions. </w:t>
      </w:r>
    </w:p>
    <w:p w14:paraId="6C708FC3" w14:textId="00DBB506" w:rsidR="0059238F" w:rsidRPr="00A3253C" w:rsidRDefault="0059238F" w:rsidP="00683484">
      <w:pPr>
        <w:pStyle w:val="BodyText"/>
      </w:pPr>
      <w:r w:rsidRPr="00A3253C">
        <w:rPr>
          <w:b/>
          <w:bCs/>
        </w:rPr>
        <w:t>Coronavirus pandemic</w:t>
      </w:r>
    </w:p>
    <w:p w14:paraId="07BC5F3B" w14:textId="75048064" w:rsidR="0059238F" w:rsidRPr="00A3253C" w:rsidRDefault="0059238F" w:rsidP="00683484">
      <w:pPr>
        <w:pStyle w:val="BodyText"/>
      </w:pPr>
      <w:r w:rsidRPr="00A3253C">
        <w:t xml:space="preserve">Containment of coronavirus cases continued to improve domestically during October and into November. NSW has seen 6 consecutive days of no locally transmitted cases and Victoria 14 consecutive days of no new cases or deaths, a material improvement from the situation in the September quarter. Border restrictions are also being lifted with all States and Territories excluding Western Australia agreeing to reopen their borders to internal travel by Christmas. The government has also announced a prioritisation of the elderly and other vulnerable groups once a coronavirus vaccine becomes more widely available. The focus now is on gradual normalisation of internal economic activity which we expect to continue seeing and acting as an economic tailwind in the months ahead. </w:t>
      </w:r>
    </w:p>
    <w:p w14:paraId="744ABA21" w14:textId="68DF7016" w:rsidR="00E06B70" w:rsidRPr="00A3253C" w:rsidRDefault="00E06B70" w:rsidP="00575FB9">
      <w:pPr>
        <w:pStyle w:val="Heading2"/>
      </w:pPr>
      <w:r w:rsidRPr="00A3253C">
        <w:lastRenderedPageBreak/>
        <w:t>United States</w:t>
      </w:r>
    </w:p>
    <w:p w14:paraId="71D3767A" w14:textId="2B5AD1C9" w:rsidR="00E06B70" w:rsidRPr="00A3253C" w:rsidRDefault="00032805" w:rsidP="00585F8F">
      <w:pPr>
        <w:pStyle w:val="PulloutBoxText"/>
      </w:pPr>
      <w:r w:rsidRPr="00A3253C">
        <w:t>Democrat nominee Joe Biden was elected as the 46</w:t>
      </w:r>
      <w:r w:rsidRPr="00A3253C">
        <w:rPr>
          <w:vertAlign w:val="superscript"/>
        </w:rPr>
        <w:t>th</w:t>
      </w:r>
      <w:r w:rsidRPr="00A3253C">
        <w:t xml:space="preserve"> President of the United States with incumbent President Trump refusing to concede amidst legal and other challenges to the outcome. The coronavirus pandemic has continued to grow in the US and begun to see lockdown restrictions reappear while economic data has remained broadly positive.</w:t>
      </w:r>
    </w:p>
    <w:p w14:paraId="2288B6A2" w14:textId="77777777" w:rsidR="00032805" w:rsidRPr="00A3253C" w:rsidRDefault="00032805" w:rsidP="00032805">
      <w:pPr>
        <w:pStyle w:val="ListBullet2"/>
        <w:numPr>
          <w:ilvl w:val="0"/>
          <w:numId w:val="0"/>
        </w:numPr>
        <w:rPr>
          <w:b/>
          <w:bCs/>
        </w:rPr>
      </w:pPr>
      <w:r w:rsidRPr="00A3253C">
        <w:rPr>
          <w:b/>
          <w:bCs/>
        </w:rPr>
        <w:t>US Elections</w:t>
      </w:r>
    </w:p>
    <w:p w14:paraId="4E4732EC" w14:textId="3002B679" w:rsidR="00032805" w:rsidRPr="00A3253C" w:rsidRDefault="00032805" w:rsidP="00032805">
      <w:pPr>
        <w:pStyle w:val="BodyText"/>
      </w:pPr>
      <w:r w:rsidRPr="00A3253C">
        <w:t>On 3 November we saw races for both the Presidency and US Congress. Joe Biden appears likely to have exceeded the 270 Electoral College votes needed to win the election. Races in North Carolina and Georgia remain unclear, but Biden may expand his total votes to over 300 when the voting is finalised. President Trump is contesting the outcome, but we believe the margin of Biden’s lead in several close States is large enough that a recount will not materially change the outcome while allegations of electoral fraud remain unsubstantiated.</w:t>
      </w:r>
    </w:p>
    <w:p w14:paraId="4AF29608" w14:textId="77777777" w:rsidR="00E811A7" w:rsidRPr="00A3253C" w:rsidRDefault="00032805" w:rsidP="00032805">
      <w:pPr>
        <w:pStyle w:val="BodyText"/>
      </w:pPr>
      <w:r w:rsidRPr="00A3253C">
        <w:t>The Democrats have retained control of the US House of Representatives and may still claim the Senate depending on the outcome in Georgia. There the votes were sufficiently close to trigger runoff elections on 5 January 2021</w:t>
      </w:r>
      <w:r w:rsidR="00E811A7" w:rsidRPr="00A3253C">
        <w:t xml:space="preserve"> for both Senate seats. If the Democrats were to win both they would be able to control both the Presidency and Congress.</w:t>
      </w:r>
    </w:p>
    <w:p w14:paraId="51588636" w14:textId="458C8BD4" w:rsidR="00032805" w:rsidRPr="00A3253C" w:rsidRDefault="00E811A7" w:rsidP="00032805">
      <w:pPr>
        <w:pStyle w:val="BodyText"/>
      </w:pPr>
      <w:r w:rsidRPr="00A3253C">
        <w:t xml:space="preserve">Without Senate control a Biden Presidency would be limited in its ability to deliver campaign promises, assuming a Republican Senate is unwilling to negotiate (as it was in the later years of the Obama Presidency). He will still be able, however, to promote better diplomatic relations relative to President Trump’s unilateral trade actions and trade war saga. He would also via appointments to key Federal agencies be able to promote a stronger environmental protection agenda and potentially tougher corporate regulation. </w:t>
      </w:r>
      <w:r w:rsidR="00032805" w:rsidRPr="00A3253C">
        <w:t xml:space="preserve"> </w:t>
      </w:r>
      <w:r w:rsidRPr="00A3253C">
        <w:t xml:space="preserve">It remains unclear exactly if </w:t>
      </w:r>
      <w:r w:rsidR="00A3253C" w:rsidRPr="00A3253C">
        <w:t>or</w:t>
      </w:r>
      <w:r w:rsidRPr="00A3253C">
        <w:t xml:space="preserve"> when President Trump will concede the defeat.</w:t>
      </w:r>
    </w:p>
    <w:p w14:paraId="1C8EA41A" w14:textId="76C050B5" w:rsidR="00032805" w:rsidRPr="00A3253C" w:rsidRDefault="00032805" w:rsidP="00032805">
      <w:pPr>
        <w:pStyle w:val="ListBullet2"/>
        <w:numPr>
          <w:ilvl w:val="0"/>
          <w:numId w:val="0"/>
        </w:numPr>
        <w:rPr>
          <w:b/>
          <w:bCs/>
        </w:rPr>
      </w:pPr>
      <w:r w:rsidRPr="00A3253C">
        <w:rPr>
          <w:b/>
          <w:bCs/>
        </w:rPr>
        <w:t>Coronavirus outbreak</w:t>
      </w:r>
    </w:p>
    <w:p w14:paraId="068D5EE3" w14:textId="460C269E" w:rsidR="00E811A7" w:rsidRPr="00A3253C" w:rsidRDefault="00E811A7" w:rsidP="00243AA4">
      <w:pPr>
        <w:pStyle w:val="BodyText"/>
      </w:pPr>
      <w:r w:rsidRPr="00A3253C">
        <w:t xml:space="preserve">In chart 7 we can see a sharp rise in US coronavirus cases and coronavirus deaths since bottoming around 13 September. This case growth has been led by States such as Illinois and Texas. </w:t>
      </w:r>
      <w:r w:rsidR="00E83233" w:rsidRPr="00A3253C">
        <w:t xml:space="preserve">This has prompted at a State-level the introduction of new restrictions to limit public gatherings and in some cases quarantine internal travel. </w:t>
      </w:r>
    </w:p>
    <w:p w14:paraId="3F015899" w14:textId="0120CF42" w:rsidR="00E811A7" w:rsidRPr="00A3253C" w:rsidRDefault="00E811A7" w:rsidP="00E811A7">
      <w:pPr>
        <w:pStyle w:val="Heading5"/>
      </w:pPr>
      <w:r w:rsidRPr="00A3253C">
        <w:t>7. US coronavirus case and fatality growth</w:t>
      </w:r>
    </w:p>
    <w:p w14:paraId="1B66FC13" w14:textId="25725F0B" w:rsidR="00E811A7" w:rsidRPr="00A3253C" w:rsidRDefault="00D016AE" w:rsidP="00243AA4">
      <w:pPr>
        <w:pStyle w:val="BodyText"/>
      </w:pPr>
      <w:r w:rsidRPr="00D016AE">
        <w:rPr>
          <w:noProof/>
        </w:rPr>
        <w:drawing>
          <wp:inline distT="0" distB="0" distL="0" distR="0" wp14:anchorId="7E2C3865" wp14:editId="33E1FB9A">
            <wp:extent cx="3059430" cy="1189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59430" cy="1189355"/>
                    </a:xfrm>
                    <a:prstGeom prst="rect">
                      <a:avLst/>
                    </a:prstGeom>
                    <a:noFill/>
                    <a:ln>
                      <a:noFill/>
                    </a:ln>
                  </pic:spPr>
                </pic:pic>
              </a:graphicData>
            </a:graphic>
          </wp:inline>
        </w:drawing>
      </w:r>
    </w:p>
    <w:p w14:paraId="52429A17" w14:textId="216B2158" w:rsidR="00E83233" w:rsidRPr="00A3253C" w:rsidRDefault="00E83233" w:rsidP="00243AA4">
      <w:pPr>
        <w:pStyle w:val="BodyText"/>
      </w:pPr>
      <w:r w:rsidRPr="00A3253C">
        <w:t>Thankfully the new escalation has not been met with a matching rise in fatalities at present with levels highlighted in Chart 7 still well below the earlier phase of the pandemic in April. However, per chart 8 below we can see hospitalisations for coronavirus rising to a new peak. This suggests that fatalities will continue rising in the near term but also that levels are not so extended to overwhelm the healthcare system at present. There is potential for more Federal leadership with a Biden Administration outlining key steps such as wider mask usage that should, if implemented help contain the pandemic sooner.</w:t>
      </w:r>
    </w:p>
    <w:p w14:paraId="2340E2A9" w14:textId="05268F29" w:rsidR="00E83233" w:rsidRPr="00A3253C" w:rsidRDefault="00E83233" w:rsidP="00E83233">
      <w:pPr>
        <w:pStyle w:val="Heading5"/>
      </w:pPr>
      <w:r w:rsidRPr="00A3253C">
        <w:t>8. US coronavirus current hospitalisations</w:t>
      </w:r>
    </w:p>
    <w:p w14:paraId="6A72BA4E" w14:textId="31291572" w:rsidR="00E811A7" w:rsidRPr="00A3253C" w:rsidRDefault="00E83233" w:rsidP="00243AA4">
      <w:pPr>
        <w:pStyle w:val="BodyText"/>
      </w:pPr>
      <w:r w:rsidRPr="00A3253C">
        <w:rPr>
          <w:noProof/>
        </w:rPr>
        <w:drawing>
          <wp:inline distT="0" distB="0" distL="0" distR="0" wp14:anchorId="64044B44" wp14:editId="5224576B">
            <wp:extent cx="3059430" cy="120840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59430" cy="1208405"/>
                    </a:xfrm>
                    <a:prstGeom prst="rect">
                      <a:avLst/>
                    </a:prstGeom>
                    <a:noFill/>
                    <a:ln>
                      <a:noFill/>
                    </a:ln>
                  </pic:spPr>
                </pic:pic>
              </a:graphicData>
            </a:graphic>
          </wp:inline>
        </w:drawing>
      </w:r>
    </w:p>
    <w:p w14:paraId="1EB3C710" w14:textId="5CFC2EB7" w:rsidR="00032805" w:rsidRPr="00A3253C" w:rsidRDefault="00032805" w:rsidP="00032805">
      <w:pPr>
        <w:pStyle w:val="BodyText"/>
        <w:rPr>
          <w:b/>
          <w:bCs/>
        </w:rPr>
      </w:pPr>
      <w:r w:rsidRPr="00A3253C">
        <w:rPr>
          <w:b/>
          <w:bCs/>
        </w:rPr>
        <w:t xml:space="preserve">Growth </w:t>
      </w:r>
      <w:r w:rsidR="00E83233" w:rsidRPr="00A3253C">
        <w:rPr>
          <w:b/>
          <w:bCs/>
        </w:rPr>
        <w:t xml:space="preserve">and growth </w:t>
      </w:r>
      <w:r w:rsidRPr="00A3253C">
        <w:rPr>
          <w:b/>
          <w:bCs/>
        </w:rPr>
        <w:t>outlook</w:t>
      </w:r>
    </w:p>
    <w:p w14:paraId="0044640B" w14:textId="43DF9C5E" w:rsidR="00032805" w:rsidRPr="00A3253C" w:rsidRDefault="00E83233" w:rsidP="00032805">
      <w:pPr>
        <w:pStyle w:val="BodyText"/>
      </w:pPr>
      <w:r w:rsidRPr="00A3253C">
        <w:t xml:space="preserve">The US economy grew at an annualised 33.1% pace in the September quarter (consensus: 32%). </w:t>
      </w:r>
      <w:r w:rsidR="00BF18AD" w:rsidRPr="00A3253C">
        <w:t xml:space="preserve">A surge in both business and residential investment and stronger household spending supported by government stimulus were key drivers of the result. This came even following the expiration of the </w:t>
      </w:r>
      <w:r w:rsidR="00BF18AD" w:rsidRPr="00A3253C">
        <w:rPr>
          <w:i/>
          <w:iCs/>
        </w:rPr>
        <w:t xml:space="preserve">CARES Act </w:t>
      </w:r>
      <w:r w:rsidR="00BF18AD" w:rsidRPr="00A3253C">
        <w:t xml:space="preserve">stimulus payments. </w:t>
      </w:r>
    </w:p>
    <w:p w14:paraId="747E8F79" w14:textId="711DB729" w:rsidR="00BF18AD" w:rsidRPr="00A3253C" w:rsidRDefault="00BF18AD" w:rsidP="00032805">
      <w:pPr>
        <w:pStyle w:val="BodyText"/>
      </w:pPr>
      <w:r w:rsidRPr="00A3253C">
        <w:t xml:space="preserve">Leading indicators including the Conference Board Leading Economic Index and the ECRI Weekly Leading Index suggest growth momentum should continue improving in the near term. The Weekly Economic Index from the NY Fed </w:t>
      </w:r>
      <w:r w:rsidR="00D016AE">
        <w:t>suggesting</w:t>
      </w:r>
      <w:r w:rsidRPr="00A3253C">
        <w:t xml:space="preserve"> the December quarter should show a continued uptick in growth. In addition, the Markit Composite PMI rose to 56.3 in October, up from 54.3 in September, a 29-month high. Even amidst the pandemic both manufacturing and services activity improved although the rise in coronavirus infections may slow </w:t>
      </w:r>
      <w:r w:rsidR="00D016AE">
        <w:t xml:space="preserve">or even arrest </w:t>
      </w:r>
      <w:r w:rsidRPr="00A3253C">
        <w:t xml:space="preserve">this momentum in the near </w:t>
      </w:r>
      <w:proofErr w:type="gramStart"/>
      <w:r w:rsidRPr="00A3253C">
        <w:t>term</w:t>
      </w:r>
      <w:r w:rsidR="00D016AE">
        <w:t>.</w:t>
      </w:r>
      <w:r w:rsidRPr="00A3253C">
        <w:t>.</w:t>
      </w:r>
      <w:proofErr w:type="gramEnd"/>
      <w:r w:rsidRPr="00A3253C">
        <w:t xml:space="preserve"> </w:t>
      </w:r>
    </w:p>
    <w:p w14:paraId="0050E09F" w14:textId="2D3A76AE" w:rsidR="00E06B70" w:rsidRPr="00A3253C" w:rsidRDefault="00BF18AD" w:rsidP="00560201">
      <w:pPr>
        <w:pStyle w:val="Heading2"/>
      </w:pPr>
      <w:r w:rsidRPr="00A3253C">
        <w:lastRenderedPageBreak/>
        <w:t>C</w:t>
      </w:r>
      <w:r w:rsidR="00E06B70" w:rsidRPr="00A3253C">
        <w:t xml:space="preserve">hina </w:t>
      </w:r>
    </w:p>
    <w:p w14:paraId="39C5F51A" w14:textId="6A494711" w:rsidR="00E06B70" w:rsidRPr="00A3253C" w:rsidRDefault="00F1624F" w:rsidP="00585F8F">
      <w:pPr>
        <w:pStyle w:val="PulloutBoxText"/>
      </w:pPr>
      <w:r w:rsidRPr="00A3253C">
        <w:t xml:space="preserve">The Chinese economic recovery has continued this year with further expansion recorded for the September quarter. </w:t>
      </w:r>
      <w:r w:rsidR="0073578D" w:rsidRPr="00A3253C">
        <w:t xml:space="preserve">Business surveys suggest continued improvement into October although geopolitical risks in Hong Kong and trade remain a feature, clouding the outlook potentially. </w:t>
      </w:r>
    </w:p>
    <w:p w14:paraId="2E75EFE3" w14:textId="68AE4FB8" w:rsidR="00E06B70" w:rsidRPr="00A3253C" w:rsidRDefault="00BF18AD" w:rsidP="00560201">
      <w:pPr>
        <w:pStyle w:val="Heading3"/>
      </w:pPr>
      <w:r w:rsidRPr="00A3253C">
        <w:t>Economic growth</w:t>
      </w:r>
    </w:p>
    <w:p w14:paraId="7D80A10A" w14:textId="1C231FE3" w:rsidR="00E06B70" w:rsidRPr="00A3253C" w:rsidRDefault="002104CA" w:rsidP="00243AA4">
      <w:pPr>
        <w:pStyle w:val="BodyText"/>
      </w:pPr>
      <w:r w:rsidRPr="00A3253C">
        <w:t>The Chinese economy grew 4.9% in the year to September, slightly below expectations (consensus: 5.2%).</w:t>
      </w:r>
      <w:r w:rsidR="004836A9" w:rsidRPr="00A3253C">
        <w:t xml:space="preserve"> The recovery was business-led with services a point of weakness only growing 0.4% for the first three quarters of the year in contrast to 2.3% for the agriculture and resources sector and 0.9% for the manufacturing sector. Retail sales continued to struggle with only a 0.9% rise during the September quarter. </w:t>
      </w:r>
      <w:r w:rsidRPr="00A3253C">
        <w:t xml:space="preserve"> </w:t>
      </w:r>
      <w:r w:rsidR="004836A9" w:rsidRPr="00A3253C">
        <w:t>There are signs of a gradual recovery in employment which should boost consumption spending and there are some positive signs with tech firms Alibaba and JD seeing a combined $115bn in sales on Single’s Day (an annual sales event in China)</w:t>
      </w:r>
      <w:r w:rsidR="00C11C88" w:rsidRPr="00A3253C">
        <w:t xml:space="preserve"> and Alibaba more than doubling its total sales over that period (sales here referring to transactions on the platform rather than revenue to the firm itself). </w:t>
      </w:r>
    </w:p>
    <w:p w14:paraId="4AAF0B12" w14:textId="77777777" w:rsidR="00E06B70" w:rsidRPr="00A3253C" w:rsidRDefault="00E06B70" w:rsidP="00560201">
      <w:pPr>
        <w:pStyle w:val="Heading3"/>
      </w:pPr>
      <w:r w:rsidRPr="00A3253C">
        <w:t>Business activity and sentiment</w:t>
      </w:r>
    </w:p>
    <w:p w14:paraId="4E6B4C32" w14:textId="2BDDB718" w:rsidR="00E06B70" w:rsidRPr="00A3253C" w:rsidRDefault="00A659FD" w:rsidP="00BF18AD">
      <w:pPr>
        <w:pStyle w:val="BodyText"/>
      </w:pPr>
      <w:r w:rsidRPr="00A3253C">
        <w:t xml:space="preserve">Chinese economic activity continued to strengthen at the start of the fourth quarter with the Composite PMI rising from 54.5 in September to 55.7 in October. This was supported by strength across both the manufacturing and services sectors with new business expanding and job growth also improving, a marked change from the contraction seen earlier in the year. The overall composite output was the second highest in a decade while new business made a decade-high and business expectations also continued to strengthen </w:t>
      </w:r>
      <w:r w:rsidR="00A3253C" w:rsidRPr="00A3253C">
        <w:t>as</w:t>
      </w:r>
      <w:r w:rsidRPr="00A3253C">
        <w:t xml:space="preserve"> in previous updates the domestic situation stood in contrast to that of overseas demand. The acceleration in new coronavirus cases in Europe and the US saw the new business gauge for the services sector remain in contractionary territory but domestic strength helped to offset this impact. </w:t>
      </w:r>
    </w:p>
    <w:p w14:paraId="0556FBB9" w14:textId="3A21A4E6" w:rsidR="00E06B70" w:rsidRPr="00A3253C" w:rsidRDefault="00BF18AD" w:rsidP="00560201">
      <w:pPr>
        <w:pStyle w:val="Heading3"/>
      </w:pPr>
      <w:r w:rsidRPr="00A3253C">
        <w:t>Inflation</w:t>
      </w:r>
    </w:p>
    <w:p w14:paraId="6E75EB64" w14:textId="5C18F159" w:rsidR="00A659FD" w:rsidRPr="00A3253C" w:rsidRDefault="00A659FD" w:rsidP="00CB469E">
      <w:pPr>
        <w:pStyle w:val="BodyText"/>
      </w:pPr>
      <w:r w:rsidRPr="00A3253C">
        <w:t xml:space="preserve">Inflationary pressures remained subdued in the year to October with consumer inflation tracking at 0.5% growth (down from 1.7% in September) and producer inflation unchanged at 2.1% for the year to October. The drop in consumer inflation was heavily influenced </w:t>
      </w:r>
      <w:r w:rsidRPr="00A3253C">
        <w:t>by the improving pork supply after disease drove sizeable price inflation at the beginning of the year. The core inflation rate (stripping out volatile price effects) was unchanged at 0.5% with inflation remaining well below the 3.5% target that was set for 2020 by authorities.</w:t>
      </w:r>
    </w:p>
    <w:p w14:paraId="43EFD0E1" w14:textId="754B4A3B" w:rsidR="00A659FD" w:rsidRPr="00A3253C" w:rsidRDefault="00A659FD" w:rsidP="00CB469E">
      <w:pPr>
        <w:pStyle w:val="BodyText"/>
      </w:pPr>
      <w:r w:rsidRPr="00A3253C">
        <w:t>As with other countries, deflationary pressures remain the more pressing concern compared to rising inflation.</w:t>
      </w:r>
    </w:p>
    <w:p w14:paraId="7DB3B0DB" w14:textId="06102793" w:rsidR="00BF18AD" w:rsidRPr="00A3253C" w:rsidRDefault="00BF18AD" w:rsidP="00BF18AD">
      <w:pPr>
        <w:pStyle w:val="Heading3"/>
      </w:pPr>
      <w:r w:rsidRPr="00A3253C">
        <w:t>Geopolitics</w:t>
      </w:r>
    </w:p>
    <w:p w14:paraId="32EB088C" w14:textId="66EBC14A" w:rsidR="00BF18AD" w:rsidRPr="00A3253C" w:rsidRDefault="0073578D" w:rsidP="00BF18AD">
      <w:pPr>
        <w:pStyle w:val="BodyText"/>
      </w:pPr>
      <w:r w:rsidRPr="00A3253C">
        <w:t xml:space="preserve">In Hong Kong the legislature passed a new law that, amongst other features, saw several members of the democratic Opposition lose the seats. This move has sparked international outcry with the UK reportedly planning sanctions against China whilst Australian authorities have also condemned the action. We also saw President Trump sign a new Executive Order forbidding US firms from investing in firms owned or substantially controlled by the Chinese military. </w:t>
      </w:r>
    </w:p>
    <w:p w14:paraId="432EB31C" w14:textId="0326B4F1" w:rsidR="0073578D" w:rsidRPr="00A3253C" w:rsidRDefault="0073578D" w:rsidP="00BF18AD">
      <w:pPr>
        <w:pStyle w:val="BodyText"/>
      </w:pPr>
      <w:r w:rsidRPr="00A3253C">
        <w:t>The month was also marked by increased speculation of further punitive measures against Australian exports using a mix of investigations and outright bans. The lack of substantiated reasoning suggests a punitive component to the exercise, one unlikely to end until Chinese authorities deem Australia sufficiently punished. Australian authorities have steered clear of any direct countermeasures, preferring instead to weather the damage in the near term,</w:t>
      </w:r>
      <w:r w:rsidR="002104CA" w:rsidRPr="00A3253C">
        <w:t xml:space="preserve"> likely a reflection</w:t>
      </w:r>
      <w:r w:rsidRPr="00A3253C">
        <w:t xml:space="preserve"> of China’s greater importance to Australian resource and agricultural exports.</w:t>
      </w:r>
    </w:p>
    <w:p w14:paraId="7EC44A73" w14:textId="656D8454" w:rsidR="00BF18AD" w:rsidRPr="00A3253C" w:rsidRDefault="00BF18AD" w:rsidP="00BF18AD">
      <w:pPr>
        <w:pStyle w:val="BodyText"/>
        <w:rPr>
          <w:b/>
          <w:bCs/>
        </w:rPr>
      </w:pPr>
      <w:r w:rsidRPr="00A3253C">
        <w:rPr>
          <w:b/>
          <w:bCs/>
        </w:rPr>
        <w:t>Trade balance</w:t>
      </w:r>
    </w:p>
    <w:p w14:paraId="39231D03" w14:textId="565DC18A" w:rsidR="006109F5" w:rsidRPr="00A3253C" w:rsidRDefault="00A659FD" w:rsidP="00A3253C">
      <w:pPr>
        <w:pStyle w:val="BodyText"/>
        <w:rPr>
          <w:rFonts w:cs="Arial"/>
          <w:b/>
          <w:bCs/>
          <w:iCs/>
          <w:color w:val="007A45"/>
          <w:sz w:val="28"/>
          <w:szCs w:val="28"/>
        </w:rPr>
      </w:pPr>
      <w:r w:rsidRPr="00A3253C">
        <w:t>Chinese exports grew 11.4% in the year to October (consensus: 9.3%) driving the trade surplus for the month to $58.44bn (consensus: $46bn)</w:t>
      </w:r>
      <w:r w:rsidR="00A3253C" w:rsidRPr="00A3253C">
        <w:t>. Strong demand for medical supplies and challenges to manufacturing elsewhere amidst the pandemic have supported sales of Chinese manufactured goods. Imports rose 4.7% over the same period (consensus: 9.5% increase), a second straight month of growth but lagging expectations. While this is supportive of the Chinese recovery, we note that this may lead to trade becoming a contentious issue given China is benefitting more from other countries’ stimulus efforts. US. Much will depend on the stance of the incoming Biden Administration with campaign promises suggesting it will not be an “easy” path for China necessarily.</w:t>
      </w:r>
      <w:r w:rsidR="006109F5" w:rsidRPr="00A3253C">
        <w:br w:type="page"/>
      </w:r>
    </w:p>
    <w:p w14:paraId="0DB13615" w14:textId="61B007AB" w:rsidR="00E06B70" w:rsidRPr="00A3253C" w:rsidRDefault="00E06B70" w:rsidP="00560201">
      <w:pPr>
        <w:pStyle w:val="Heading2"/>
      </w:pPr>
      <w:r w:rsidRPr="00A3253C">
        <w:lastRenderedPageBreak/>
        <w:t xml:space="preserve">Europe </w:t>
      </w:r>
    </w:p>
    <w:p w14:paraId="62746BA4" w14:textId="69BA4982" w:rsidR="00E06B70" w:rsidRPr="00A3253C" w:rsidRDefault="00405F2F" w:rsidP="00585F8F">
      <w:pPr>
        <w:pStyle w:val="PulloutBoxText"/>
      </w:pPr>
      <w:r w:rsidRPr="00A3253C">
        <w:t>An acceleration of coronavirus infections prompted tighter lockdown restrictions across Europe, beginning in October and escalating further in November. These raise the risk of a negative growth quarter to end 2020</w:t>
      </w:r>
      <w:r w:rsidR="006109F5" w:rsidRPr="00A3253C">
        <w:t>. Brexit negotiations remain inconclusive and pose another near-term risk to the regional outlook.</w:t>
      </w:r>
      <w:r w:rsidRPr="00A3253C">
        <w:t xml:space="preserve"> </w:t>
      </w:r>
    </w:p>
    <w:p w14:paraId="27524C45" w14:textId="77777777" w:rsidR="00E06B70" w:rsidRPr="00A3253C" w:rsidRDefault="00E06B70" w:rsidP="00243AA4">
      <w:pPr>
        <w:pStyle w:val="BodyText"/>
        <w:rPr>
          <w:b/>
          <w:bCs/>
        </w:rPr>
      </w:pPr>
      <w:r w:rsidRPr="00A3253C">
        <w:rPr>
          <w:b/>
          <w:bCs/>
        </w:rPr>
        <w:t>United Kingdom</w:t>
      </w:r>
    </w:p>
    <w:p w14:paraId="2FA92E43" w14:textId="090CD68E" w:rsidR="00AF2344" w:rsidRPr="00A3253C" w:rsidRDefault="00AF2344" w:rsidP="00AF2344">
      <w:pPr>
        <w:pStyle w:val="ListBullet"/>
        <w:numPr>
          <w:ilvl w:val="0"/>
          <w:numId w:val="0"/>
        </w:numPr>
      </w:pPr>
      <w:r w:rsidRPr="00A3253C">
        <w:t xml:space="preserve">The UK saw an extension of its wage-subsidisation scheme for furloughed workers until March 2021with support also being extended to self-employed workers from November until January 2021. </w:t>
      </w:r>
    </w:p>
    <w:p w14:paraId="6BC71BCA" w14:textId="17B47164" w:rsidR="00AF2344" w:rsidRPr="00A3253C" w:rsidRDefault="00AF2344" w:rsidP="00AF2344">
      <w:pPr>
        <w:pStyle w:val="ListBullet"/>
        <w:numPr>
          <w:ilvl w:val="0"/>
          <w:numId w:val="0"/>
        </w:numPr>
      </w:pPr>
      <w:r w:rsidRPr="00A3253C">
        <w:t>It comes as the UK entered a second national lockdown (due to end in early December) as coronavirus case growth soared during October and November. As many as 2 million jobs were still being protected by the existing scheme in mid-October with the Bank of England estimating that as many as 5.5 million people could be added following the November extension. The new UK lockdown restrictions resemble those we saw in Australia earlier this year with non-essential services including restaurants closed and a general direction to remain home unless necessary for</w:t>
      </w:r>
      <w:r w:rsidR="00F1624F" w:rsidRPr="00A3253C">
        <w:t xml:space="preserve"> </w:t>
      </w:r>
      <w:r w:rsidRPr="00A3253C">
        <w:t>education or work reasons. One difference is that schools and universities have remained open (a process replicated in Continental Europe as well).</w:t>
      </w:r>
    </w:p>
    <w:p w14:paraId="21E84028" w14:textId="089BF186" w:rsidR="00283FCD" w:rsidRPr="00A3253C" w:rsidRDefault="00283FCD" w:rsidP="00AF2344">
      <w:pPr>
        <w:pStyle w:val="ListBullet"/>
        <w:numPr>
          <w:ilvl w:val="0"/>
          <w:numId w:val="0"/>
        </w:numPr>
      </w:pPr>
      <w:r w:rsidRPr="00A3253C">
        <w:t xml:space="preserve">Lastly, we note that Brexit negotiations have remained inconclusive even as the 31 December deadline is rapidly approaching. </w:t>
      </w:r>
      <w:r w:rsidR="00A3253C" w:rsidRPr="00A3253C">
        <w:t>Difficult</w:t>
      </w:r>
      <w:r w:rsidRPr="00A3253C">
        <w:t xml:space="preserve"> sticking points on both sides including fishery access and state subsidies are amongst the main sticking points. </w:t>
      </w:r>
    </w:p>
    <w:p w14:paraId="10882A14" w14:textId="4062B531" w:rsidR="00AF2344" w:rsidRPr="00A3253C" w:rsidRDefault="00283FCD" w:rsidP="00283FCD">
      <w:pPr>
        <w:pStyle w:val="ListBullet"/>
        <w:numPr>
          <w:ilvl w:val="0"/>
          <w:numId w:val="0"/>
        </w:numPr>
      </w:pPr>
      <w:r w:rsidRPr="00A3253C">
        <w:t>A lack of a finalised deal will compound the difficult economic situation of the region</w:t>
      </w:r>
      <w:r w:rsidR="00AF2344" w:rsidRPr="00A3253C">
        <w:t xml:space="preserve"> </w:t>
      </w:r>
      <w:r w:rsidRPr="00A3253C">
        <w:t>and appears to be growing more likely unless as has occurred in the past, some last-minute pragmatism emerges.</w:t>
      </w:r>
    </w:p>
    <w:p w14:paraId="1EE7A633" w14:textId="1FF1B70A" w:rsidR="006109F5" w:rsidRPr="00A3253C" w:rsidRDefault="006109F5" w:rsidP="00243AA4">
      <w:pPr>
        <w:pStyle w:val="BodyText"/>
        <w:rPr>
          <w:b/>
          <w:bCs/>
        </w:rPr>
      </w:pPr>
      <w:r w:rsidRPr="00A3253C">
        <w:rPr>
          <w:b/>
          <w:bCs/>
        </w:rPr>
        <w:t>Coronavirus pandemic</w:t>
      </w:r>
    </w:p>
    <w:p w14:paraId="1707C198" w14:textId="7F491F57" w:rsidR="00283FCD" w:rsidRPr="00A3253C" w:rsidRDefault="00283FCD" w:rsidP="00283FCD">
      <w:pPr>
        <w:pStyle w:val="BodyText"/>
      </w:pPr>
      <w:r w:rsidRPr="00A3253C">
        <w:t xml:space="preserve">October and, subsequently </w:t>
      </w:r>
      <w:r w:rsidR="008B4512" w:rsidRPr="00A3253C">
        <w:t xml:space="preserve">November saw a pronounced surge in both cases and fatalities in Europe with deaths rapidly approaching the April peak (unlike the US experience). This triggered widespread lockdowns across the continent albeit less severe than we saw during April. While it remains early as we can see in Chart 9, case growth while elevated has begun to flatline with some countries still seeing an increase whilst others such as France are now seeing </w:t>
      </w:r>
      <w:r w:rsidR="008B4512" w:rsidRPr="00A3253C">
        <w:t xml:space="preserve">case growth decline. Lockdowns will eventually halt further case growth but in the </w:t>
      </w:r>
      <w:r w:rsidR="002F58FC" w:rsidRPr="00A3253C">
        <w:t>meantime,</w:t>
      </w:r>
      <w:r w:rsidR="008B4512" w:rsidRPr="00A3253C">
        <w:t xml:space="preserve"> they will materially detract from economic activity, raising the risk of another contraction in European growth. </w:t>
      </w:r>
    </w:p>
    <w:p w14:paraId="51137EE2" w14:textId="10622352" w:rsidR="00283FCD" w:rsidRPr="00A3253C" w:rsidRDefault="00283FCD" w:rsidP="00283FCD">
      <w:pPr>
        <w:pStyle w:val="Heading5"/>
      </w:pPr>
      <w:r w:rsidRPr="00A3253C">
        <w:t>9. Eurozone coronavirus current hospitalisations</w:t>
      </w:r>
    </w:p>
    <w:p w14:paraId="0B31D37E" w14:textId="62795E02" w:rsidR="006109F5" w:rsidRPr="00A3253C" w:rsidRDefault="00D016AE" w:rsidP="00243AA4">
      <w:pPr>
        <w:pStyle w:val="BodyText"/>
        <w:rPr>
          <w:b/>
          <w:bCs/>
        </w:rPr>
      </w:pPr>
      <w:r w:rsidRPr="00D016AE">
        <w:rPr>
          <w:noProof/>
        </w:rPr>
        <w:drawing>
          <wp:inline distT="0" distB="0" distL="0" distR="0" wp14:anchorId="7EC59CCE" wp14:editId="448855EB">
            <wp:extent cx="3059430" cy="11893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59430" cy="1189355"/>
                    </a:xfrm>
                    <a:prstGeom prst="rect">
                      <a:avLst/>
                    </a:prstGeom>
                    <a:noFill/>
                    <a:ln>
                      <a:noFill/>
                    </a:ln>
                  </pic:spPr>
                </pic:pic>
              </a:graphicData>
            </a:graphic>
          </wp:inline>
        </w:drawing>
      </w:r>
    </w:p>
    <w:p w14:paraId="252BD093" w14:textId="10B00F69" w:rsidR="006109F5" w:rsidRPr="00A3253C" w:rsidRDefault="008B4512" w:rsidP="002F58FC">
      <w:pPr>
        <w:pStyle w:val="BodyText"/>
      </w:pPr>
      <w:r w:rsidRPr="00A3253C">
        <w:t xml:space="preserve">An earlier-than-expected vaccine such as the success of the recent Pfizer joint venture solution in medical trials would be a welcome boost for Europe especially as it grapples with the impact of the pandemic. </w:t>
      </w:r>
    </w:p>
    <w:p w14:paraId="268543C5" w14:textId="77777777" w:rsidR="00AF2344" w:rsidRPr="00A3253C" w:rsidRDefault="006109F5" w:rsidP="00AF2344">
      <w:pPr>
        <w:pStyle w:val="BodyText"/>
        <w:rPr>
          <w:b/>
          <w:bCs/>
        </w:rPr>
      </w:pPr>
      <w:r w:rsidRPr="00A3253C">
        <w:rPr>
          <w:b/>
          <w:bCs/>
        </w:rPr>
        <w:t>Eurozone growth</w:t>
      </w:r>
    </w:p>
    <w:p w14:paraId="041BA821" w14:textId="3E7D6610" w:rsidR="002F58FC" w:rsidRPr="00A3253C" w:rsidRDefault="002F58FC" w:rsidP="002F58FC">
      <w:pPr>
        <w:pStyle w:val="BodyText"/>
      </w:pPr>
      <w:r w:rsidRPr="00A3253C">
        <w:t xml:space="preserve">The Eurozone economy grew by 12.1% in the September quarter (-3.9% for the year to September) according to Eurostat. Strength in France, Italy and Spain </w:t>
      </w:r>
      <w:r w:rsidR="006B6A47" w:rsidRPr="00A3253C">
        <w:t>was</w:t>
      </w:r>
      <w:r w:rsidRPr="00A3253C">
        <w:t xml:space="preserve"> key to driving the overall regional result. The impact of new restrictions particularly on Southern Europe which is more reliant on tourism exports is expected to be substantial. As noted above there is a reasonable </w:t>
      </w:r>
      <w:r w:rsidR="006B6A47" w:rsidRPr="00A3253C">
        <w:t>chance of</w:t>
      </w:r>
      <w:r w:rsidRPr="00A3253C">
        <w:t xml:space="preserve"> another quarter of negative growth </w:t>
      </w:r>
      <w:r w:rsidR="006B6A47" w:rsidRPr="00A3253C">
        <w:t>in December.</w:t>
      </w:r>
    </w:p>
    <w:p w14:paraId="6BDA3A96" w14:textId="7812CBA6" w:rsidR="006109F5" w:rsidRPr="00A3253C" w:rsidRDefault="006109F5" w:rsidP="00AF2344">
      <w:pPr>
        <w:pStyle w:val="BodyText"/>
        <w:rPr>
          <w:b/>
          <w:bCs/>
        </w:rPr>
      </w:pPr>
      <w:r w:rsidRPr="00A3253C">
        <w:rPr>
          <w:b/>
          <w:bCs/>
        </w:rPr>
        <w:t>Policy</w:t>
      </w:r>
    </w:p>
    <w:p w14:paraId="4CD49476" w14:textId="095FE23D" w:rsidR="006109F5" w:rsidRPr="00A3253C" w:rsidRDefault="006B6A47" w:rsidP="006B6A47">
      <w:pPr>
        <w:pStyle w:val="ListBullet"/>
        <w:numPr>
          <w:ilvl w:val="0"/>
          <w:numId w:val="0"/>
        </w:numPr>
      </w:pPr>
      <w:r w:rsidRPr="00A3253C">
        <w:t xml:space="preserve">The European Central Bank is expected to introduce additional monetary stimulus in December with a mix of cheaper bank funding and additional bond purchases likely tools. As discussed in prior updates there are limitations in how much these policies can realistically achieve given the already low borrowing costs prevailing across Europe. </w:t>
      </w:r>
    </w:p>
    <w:p w14:paraId="049ACA56" w14:textId="32EF27EF" w:rsidR="00E06B70" w:rsidRPr="00A3253C" w:rsidRDefault="00F1624F" w:rsidP="00F1624F">
      <w:pPr>
        <w:pStyle w:val="ListBullet"/>
        <w:numPr>
          <w:ilvl w:val="0"/>
          <w:numId w:val="0"/>
        </w:numPr>
      </w:pPr>
      <w:r w:rsidRPr="00A3253C">
        <w:t xml:space="preserve">Another </w:t>
      </w:r>
      <w:r w:rsidR="006B6A47" w:rsidRPr="00A3253C">
        <w:t xml:space="preserve">concern is the progress on the fiscal policy front. There are some divisions that still need to be reconciled. The European Recovery Fund is intended to offer a mix of grants (money not </w:t>
      </w:r>
      <w:r w:rsidRPr="00A3253C">
        <w:t>needing</w:t>
      </w:r>
      <w:r w:rsidR="006B6A47" w:rsidRPr="00A3253C">
        <w:t xml:space="preserve"> to be repaid) and loans (money that would be repaid) to EU membe</w:t>
      </w:r>
      <w:r w:rsidRPr="00A3253C">
        <w:t>rs</w:t>
      </w:r>
      <w:r w:rsidR="006B6A47" w:rsidRPr="00A3253C">
        <w:t>. Remarks by ECB Board member Yves Mersch suggest</w:t>
      </w:r>
      <w:r w:rsidRPr="00A3253C">
        <w:t xml:space="preserve">ed </w:t>
      </w:r>
      <w:r w:rsidR="006B6A47" w:rsidRPr="00A3253C">
        <w:t>the ECB should act to prevent governments</w:t>
      </w:r>
      <w:r w:rsidRPr="00A3253C">
        <w:t>’</w:t>
      </w:r>
      <w:r w:rsidR="006B6A47" w:rsidRPr="00A3253C">
        <w:t xml:space="preserve"> avoiding the use of the loan</w:t>
      </w:r>
      <w:r w:rsidRPr="00A3253C">
        <w:t>s by withdrawing its support in bond purchase programs. This is not official policy, but it points to a potential repeat of past mistakes where European governments engaged in austerity early and contributed to a second recession after the financial crisis.</w:t>
      </w:r>
    </w:p>
    <w:p w14:paraId="1BEE6889" w14:textId="7DA89557" w:rsidR="00560201" w:rsidRPr="00A3253C" w:rsidRDefault="00560201" w:rsidP="00CB469E">
      <w:pPr>
        <w:pStyle w:val="Heading3"/>
        <w:sectPr w:rsidR="00560201" w:rsidRPr="00A3253C" w:rsidSect="0023729C">
          <w:type w:val="continuous"/>
          <w:pgSz w:w="11906" w:h="16838" w:code="9"/>
          <w:pgMar w:top="1588" w:right="851" w:bottom="1134" w:left="851" w:header="539" w:footer="510" w:gutter="0"/>
          <w:cols w:num="2" w:space="567"/>
          <w:titlePg/>
          <w:docGrid w:linePitch="360"/>
        </w:sectPr>
      </w:pPr>
    </w:p>
    <w:p w14:paraId="6A89B8C0" w14:textId="3EE89CBB" w:rsidR="00560201" w:rsidRPr="00A3253C" w:rsidRDefault="006B6A47" w:rsidP="00560201">
      <w:pPr>
        <w:pStyle w:val="Heading2"/>
      </w:pPr>
      <w:bookmarkStart w:id="1" w:name="_Hlk55482402"/>
      <w:r w:rsidRPr="00A3253C">
        <w:lastRenderedPageBreak/>
        <w:t>C</w:t>
      </w:r>
      <w:r w:rsidR="00E06B70" w:rsidRPr="00A3253C">
        <w:t xml:space="preserve">ompany news </w:t>
      </w:r>
      <w:r w:rsidR="00522AF1" w:rsidRPr="00A3253C">
        <w:t xml:space="preserve">- </w:t>
      </w:r>
      <w:r w:rsidR="00E06B70" w:rsidRPr="00A3253C">
        <w:t xml:space="preserve">best and worst performers during </w:t>
      </w:r>
      <w:r w:rsidR="00522AF1" w:rsidRPr="00A3253C">
        <w:t>October</w:t>
      </w:r>
      <w:r w:rsidR="00E06B70" w:rsidRPr="00A3253C">
        <w:t xml:space="preserve"> 2020</w:t>
      </w:r>
    </w:p>
    <w:p w14:paraId="67A6CF42" w14:textId="77777777" w:rsidR="006E3BCC" w:rsidRPr="00A3253C" w:rsidRDefault="006E3BCC" w:rsidP="006E3BCC">
      <w:pPr>
        <w:pStyle w:val="Heading3"/>
      </w:pPr>
      <w:r w:rsidRPr="00A3253C">
        <w:t>Coca Cola Amatil (+30.8%)</w:t>
      </w:r>
    </w:p>
    <w:p w14:paraId="0569F23E" w14:textId="77777777" w:rsidR="006E3BCC" w:rsidRPr="00A3253C" w:rsidRDefault="006E3BCC" w:rsidP="006E3BCC">
      <w:pPr>
        <w:pStyle w:val="BodyText"/>
        <w:rPr>
          <w:rFonts w:eastAsiaTheme="minorHAnsi"/>
        </w:rPr>
      </w:pPr>
      <w:r w:rsidRPr="00A3253C">
        <w:t>Coca-Cola Amatil (CCA) received a takeover from its European counterpart Coca-Cola European Partners (CCEP) for $12.75 per share, valuing the company at $9bn, and propping up the share price toward the end of the month. The deal is set to provide CCEP further growth opportunities outside its core European market while also providing geographic diversification. The deal which has the blessing of the board and CCA’s majority shareholder, The Coca-Cola Company (TCCC), has already agreed to sell CCEP it’s 30.8% stake in CCA, however several shareholders (Pendal, Martin Currie, and Antares) oppose the takeover, saying the deal is opportunistic and undervalues CCA’s post-pandemic potential.</w:t>
      </w:r>
    </w:p>
    <w:p w14:paraId="4C7EF124" w14:textId="77777777" w:rsidR="006E3BCC" w:rsidRPr="00A3253C" w:rsidRDefault="006E3BCC" w:rsidP="006E3BCC">
      <w:pPr>
        <w:pStyle w:val="Heading3"/>
      </w:pPr>
      <w:r w:rsidRPr="00A3253C">
        <w:t>Link Administration Holdings (+27.9%)</w:t>
      </w:r>
    </w:p>
    <w:p w14:paraId="3CF5C9E5" w14:textId="5DB1486E" w:rsidR="006E3BCC" w:rsidRPr="00A3253C" w:rsidRDefault="006E3BCC" w:rsidP="006E3BCC">
      <w:pPr>
        <w:pStyle w:val="BodyText"/>
        <w:rPr>
          <w:rFonts w:eastAsiaTheme="minorHAnsi"/>
        </w:rPr>
      </w:pPr>
      <w:r w:rsidRPr="00A3253C">
        <w:t>Link Administration Holdings (LNK) received a joint takeover bid by private equity groups, The Carlyle Group and Pacific Equity Partners, for $5.20 per share which valued the company at $3.8bn. The deal places significant value on LNK’s 44% holding of PEXA, an e-conveyancing software with a market leading position in the fast-growing market for electronic settlement of property. The offer was subsequently rejected by the board with subsequent talks of an IPO of PEXA as a possibility for LNK to realise its investment in the software.</w:t>
      </w:r>
    </w:p>
    <w:p w14:paraId="3C4F2B89" w14:textId="77777777" w:rsidR="006E3BCC" w:rsidRPr="00A3253C" w:rsidRDefault="006E3BCC" w:rsidP="006E3BCC">
      <w:pPr>
        <w:pStyle w:val="Heading3"/>
      </w:pPr>
      <w:r w:rsidRPr="00A3253C">
        <w:t>Virgin Money UK (+26.6%)</w:t>
      </w:r>
    </w:p>
    <w:p w14:paraId="4445FC56" w14:textId="7E799D36" w:rsidR="006E3BCC" w:rsidRPr="00A3253C" w:rsidRDefault="006E3BCC" w:rsidP="006E3BCC">
      <w:pPr>
        <w:pStyle w:val="BodyText"/>
        <w:rPr>
          <w:rFonts w:eastAsiaTheme="minorHAnsi"/>
        </w:rPr>
      </w:pPr>
      <w:r w:rsidRPr="00A3253C">
        <w:t>Virgin Money UK (VUK) is undergoing an aggressive cost cutting and integration program with 400 jobs set to be cut as part of a plan to reduce its workforce by 16% to increase efficiencies within the bank. The former NAB subsidiary, Clydesdale Bank, rebranded Virgin Money UK after a successful takeover by Virgin Money, is set to continue to undergo a period of restructuring as its new owner seeks to produce an estimated £200m in cost savings by 2022 and turn around the underperforming bank.</w:t>
      </w:r>
    </w:p>
    <w:p w14:paraId="4BEE59B7" w14:textId="77777777" w:rsidR="006E3BCC" w:rsidRPr="00A3253C" w:rsidRDefault="006E3BCC" w:rsidP="006E3BCC">
      <w:pPr>
        <w:pStyle w:val="Heading3"/>
      </w:pPr>
      <w:r w:rsidRPr="00A3253C">
        <w:t xml:space="preserve">Mesoblast (-39.8%) </w:t>
      </w:r>
    </w:p>
    <w:p w14:paraId="11F49F98" w14:textId="77777777" w:rsidR="006E3BCC" w:rsidRPr="00A3253C" w:rsidRDefault="006E3BCC" w:rsidP="006E3BCC">
      <w:pPr>
        <w:pStyle w:val="BodyText"/>
        <w:rPr>
          <w:rFonts w:eastAsiaTheme="minorHAnsi"/>
        </w:rPr>
      </w:pPr>
      <w:r w:rsidRPr="00A3253C">
        <w:t>Mesoblast (MSB) reported a disappointing October after the FDA unexpectedly rejected MSBs Ryoncil Remestemcel-L and demanded further randomised controlled studies in adults and children to provide more evidence of effectiveness. The news came as a shock to the market which was expecting a smooth approval process given that the FDA Oncologic Drugs Advisory Committee (ODAC) voted 9-1 in favour of the drug’s efficacy given existing data. Although MSBs treatment could still get Ryoncil approved within 3-6 months under an accelerated approval process, the setback produced a high level of uncertainty around the future of the drug.</w:t>
      </w:r>
    </w:p>
    <w:p w14:paraId="709B4316" w14:textId="77777777" w:rsidR="006E3BCC" w:rsidRPr="00A3253C" w:rsidRDefault="006E3BCC" w:rsidP="006E3BCC">
      <w:pPr>
        <w:pStyle w:val="Heading3"/>
      </w:pPr>
      <w:r w:rsidRPr="00A3253C">
        <w:t>Flight Centre (-18.2%)</w:t>
      </w:r>
    </w:p>
    <w:p w14:paraId="0F699E07" w14:textId="05453A00" w:rsidR="006E3BCC" w:rsidRPr="00A3253C" w:rsidRDefault="006E3BCC" w:rsidP="006E3BCC">
      <w:pPr>
        <w:pStyle w:val="BodyText"/>
        <w:rPr>
          <w:rFonts w:eastAsiaTheme="minorHAnsi"/>
        </w:rPr>
      </w:pPr>
      <w:r w:rsidRPr="00A3253C">
        <w:t xml:space="preserve">Flight Centre (FLT) continued its slide downwards as a resurgent second wave took hold in Europe and the Americas, dampening hopes for a fast recovery in airline travel. The announcement of a pause in Oxford-AstraZeneca’s Phase III trial due to an unknown sickness produced in one of </w:t>
      </w:r>
      <w:r w:rsidR="00A3253C" w:rsidRPr="00A3253C">
        <w:t>its</w:t>
      </w:r>
      <w:r w:rsidRPr="00A3253C">
        <w:t xml:space="preserve"> participants and the cancellation of a “trans-Tasman” travel bubble before Christmas also added pressure on FLTs share price.</w:t>
      </w:r>
    </w:p>
    <w:p w14:paraId="61E02FE8" w14:textId="77777777" w:rsidR="006E3BCC" w:rsidRPr="00A3253C" w:rsidRDefault="006E3BCC" w:rsidP="006E3BCC">
      <w:pPr>
        <w:pStyle w:val="Heading3"/>
      </w:pPr>
      <w:r w:rsidRPr="00A3253C">
        <w:t>Austal (-17.4%)</w:t>
      </w:r>
    </w:p>
    <w:p w14:paraId="709ACE6A" w14:textId="5829D798" w:rsidR="006E3BCC" w:rsidRPr="00A3253C" w:rsidRDefault="006E3BCC" w:rsidP="006E3BCC">
      <w:pPr>
        <w:pStyle w:val="BodyText"/>
        <w:rPr>
          <w:rFonts w:eastAsiaTheme="minorHAnsi"/>
        </w:rPr>
      </w:pPr>
      <w:r w:rsidRPr="00A3253C">
        <w:t xml:space="preserve">Austral Boats (ASB) was caught up in a corruption investigation after the Australian Border Force (ABF) was alleged to have improperly funnelled $39m from a national security project to ASB </w:t>
      </w:r>
      <w:r w:rsidR="00A3253C" w:rsidRPr="00A3253C">
        <w:t>to</w:t>
      </w:r>
      <w:r w:rsidRPr="00A3253C">
        <w:t xml:space="preserve"> prop up its financial position. The allegations state that ASB was improperly paid out $39m that was part of a contingent “success” fee on the condition that it delivered patrol boats (used for targeting contraband smugglers and illegal fishing) with no mechanical problems, which were not met but paid after intense lobbying. The investigation is currently ongoing.</w:t>
      </w:r>
    </w:p>
    <w:p w14:paraId="79B2D319" w14:textId="77777777" w:rsidR="00E06B70" w:rsidRDefault="00E06B70" w:rsidP="00243AA4">
      <w:pPr>
        <w:pStyle w:val="BodyText"/>
      </w:pPr>
      <w:r w:rsidRPr="00A3253C">
        <w:rPr>
          <w:b/>
          <w:bCs/>
        </w:rPr>
        <w:t>Sources:</w:t>
      </w:r>
      <w:r w:rsidRPr="00A3253C">
        <w:t xml:space="preserve"> ASX company announcements, Bloomberg, Fund manager disclosures, Australian Financial Review, Sydney Morning Herald</w:t>
      </w:r>
    </w:p>
    <w:bookmarkEnd w:id="1"/>
    <w:p w14:paraId="57135054" w14:textId="7E6C5791" w:rsidR="00E06B70" w:rsidRDefault="00E06B70" w:rsidP="00560201">
      <w:pPr>
        <w:pStyle w:val="Heading2"/>
      </w:pPr>
      <w:r>
        <w:lastRenderedPageBreak/>
        <w:t xml:space="preserve">Movers and Shakers for month of </w:t>
      </w:r>
      <w:r w:rsidR="00585F8F">
        <w:t>October</w:t>
      </w:r>
      <w:r>
        <w:t xml:space="preserve"> 2020</w:t>
      </w:r>
    </w:p>
    <w:tbl>
      <w:tblPr>
        <w:tblStyle w:val="TableIOOF"/>
        <w:tblW w:w="5000" w:type="pct"/>
        <w:tblLayout w:type="fixed"/>
        <w:tblLook w:val="04A0" w:firstRow="1" w:lastRow="0" w:firstColumn="1" w:lastColumn="0" w:noHBand="0" w:noVBand="1"/>
      </w:tblPr>
      <w:tblGrid>
        <w:gridCol w:w="888"/>
        <w:gridCol w:w="2513"/>
        <w:gridCol w:w="43"/>
        <w:gridCol w:w="887"/>
        <w:gridCol w:w="999"/>
        <w:gridCol w:w="981"/>
        <w:gridCol w:w="981"/>
        <w:gridCol w:w="928"/>
        <w:gridCol w:w="1087"/>
        <w:gridCol w:w="891"/>
      </w:tblGrid>
      <w:tr w:rsidR="003D56F7" w:rsidRPr="00B969E5" w14:paraId="7FD358DB" w14:textId="77777777" w:rsidTr="00585F8F">
        <w:trPr>
          <w:cnfStyle w:val="100000000000" w:firstRow="1" w:lastRow="0" w:firstColumn="0" w:lastColumn="0" w:oddVBand="0" w:evenVBand="0" w:oddHBand="0" w:evenHBand="0" w:firstRowFirstColumn="0" w:firstRowLastColumn="0" w:lastRowFirstColumn="0" w:lastRowLastColumn="0"/>
          <w:trHeight w:val="1040"/>
        </w:trPr>
        <w:tc>
          <w:tcPr>
            <w:tcW w:w="435" w:type="pct"/>
            <w:vAlign w:val="center"/>
            <w:hideMark/>
          </w:tcPr>
          <w:p w14:paraId="197397A3" w14:textId="77777777" w:rsidR="003D56F7" w:rsidRPr="00B969E5" w:rsidRDefault="003D56F7" w:rsidP="00585F8F">
            <w:pPr>
              <w:pStyle w:val="TableHeading"/>
              <w:jc w:val="center"/>
            </w:pPr>
            <w:r w:rsidRPr="00B969E5">
              <w:t>ASX</w:t>
            </w:r>
          </w:p>
          <w:p w14:paraId="1229C29B" w14:textId="028D13BF" w:rsidR="003D56F7" w:rsidRPr="00B969E5" w:rsidRDefault="003D56F7" w:rsidP="00585F8F">
            <w:pPr>
              <w:pStyle w:val="TableHeading"/>
              <w:jc w:val="center"/>
            </w:pPr>
            <w:r w:rsidRPr="00B969E5">
              <w:t>Code</w:t>
            </w:r>
          </w:p>
        </w:tc>
        <w:tc>
          <w:tcPr>
            <w:tcW w:w="1232" w:type="pct"/>
            <w:vAlign w:val="center"/>
            <w:hideMark/>
          </w:tcPr>
          <w:p w14:paraId="671B74E5" w14:textId="77777777" w:rsidR="003D56F7" w:rsidRPr="00B969E5" w:rsidRDefault="003D56F7" w:rsidP="00585F8F">
            <w:pPr>
              <w:pStyle w:val="TableHeading"/>
              <w:jc w:val="center"/>
            </w:pPr>
            <w:r w:rsidRPr="00B969E5">
              <w:t>Company Name</w:t>
            </w:r>
          </w:p>
        </w:tc>
        <w:tc>
          <w:tcPr>
            <w:tcW w:w="456" w:type="pct"/>
            <w:gridSpan w:val="2"/>
            <w:vAlign w:val="center"/>
            <w:hideMark/>
          </w:tcPr>
          <w:p w14:paraId="47B38755" w14:textId="77777777" w:rsidR="003D56F7" w:rsidRPr="00B969E5" w:rsidRDefault="003D56F7" w:rsidP="00585F8F">
            <w:pPr>
              <w:pStyle w:val="TableHeading"/>
              <w:jc w:val="center"/>
              <w:rPr>
                <w:color w:val="FFFFFF" w:themeColor="background1"/>
              </w:rPr>
            </w:pPr>
            <w:r w:rsidRPr="00B969E5">
              <w:t>Closing</w:t>
            </w:r>
          </w:p>
          <w:p w14:paraId="23606510" w14:textId="4D5B9B80" w:rsidR="003D56F7" w:rsidRPr="00B969E5" w:rsidRDefault="003D56F7" w:rsidP="00585F8F">
            <w:pPr>
              <w:pStyle w:val="TableHeading"/>
              <w:jc w:val="center"/>
            </w:pPr>
            <w:r w:rsidRPr="00B969E5">
              <w:t>price ($)</w:t>
            </w:r>
          </w:p>
        </w:tc>
        <w:tc>
          <w:tcPr>
            <w:tcW w:w="490" w:type="pct"/>
            <w:vAlign w:val="center"/>
            <w:hideMark/>
          </w:tcPr>
          <w:p w14:paraId="7FFDF7A9" w14:textId="77777777" w:rsidR="003D56F7" w:rsidRPr="00B969E5" w:rsidRDefault="003D56F7" w:rsidP="00585F8F">
            <w:pPr>
              <w:pStyle w:val="TableHeading"/>
              <w:jc w:val="center"/>
              <w:rPr>
                <w:color w:val="FFFFFF" w:themeColor="background1"/>
              </w:rPr>
            </w:pPr>
            <w:r w:rsidRPr="00B969E5">
              <w:t>Month ago,</w:t>
            </w:r>
          </w:p>
          <w:p w14:paraId="4411D18E" w14:textId="4D1313FE" w:rsidR="003D56F7" w:rsidRPr="00B969E5" w:rsidRDefault="003D56F7" w:rsidP="00585F8F">
            <w:pPr>
              <w:pStyle w:val="TableHeading"/>
              <w:jc w:val="center"/>
            </w:pPr>
            <w:r w:rsidRPr="00B969E5">
              <w:t>close ($)</w:t>
            </w:r>
          </w:p>
        </w:tc>
        <w:tc>
          <w:tcPr>
            <w:tcW w:w="481" w:type="pct"/>
            <w:vAlign w:val="center"/>
            <w:hideMark/>
          </w:tcPr>
          <w:p w14:paraId="4B85DED4" w14:textId="06B2C1B2" w:rsidR="003D56F7" w:rsidRDefault="003D56F7" w:rsidP="00585F8F">
            <w:pPr>
              <w:pStyle w:val="TableHeading"/>
              <w:jc w:val="center"/>
            </w:pPr>
            <w:r w:rsidRPr="00B969E5">
              <w:t>Month</w:t>
            </w:r>
          </w:p>
          <w:p w14:paraId="12BD7739" w14:textId="399B7998" w:rsidR="00585F8F" w:rsidRPr="00B969E5" w:rsidRDefault="00585F8F" w:rsidP="00585F8F">
            <w:pPr>
              <w:pStyle w:val="TableHeading"/>
              <w:jc w:val="center"/>
              <w:rPr>
                <w:color w:val="FFFFFF" w:themeColor="background1"/>
              </w:rPr>
            </w:pPr>
            <w:r>
              <w:t>price</w:t>
            </w:r>
          </w:p>
          <w:p w14:paraId="7AA11E02" w14:textId="527251A3" w:rsidR="003D56F7" w:rsidRPr="00B969E5" w:rsidRDefault="00585F8F" w:rsidP="00585F8F">
            <w:pPr>
              <w:pStyle w:val="TableHeading"/>
              <w:jc w:val="center"/>
            </w:pPr>
            <w:r>
              <w:t>return</w:t>
            </w:r>
            <w:r w:rsidR="003D56F7" w:rsidRPr="00B969E5">
              <w:t xml:space="preserve"> (%)</w:t>
            </w:r>
          </w:p>
        </w:tc>
        <w:tc>
          <w:tcPr>
            <w:tcW w:w="481" w:type="pct"/>
            <w:vAlign w:val="center"/>
            <w:hideMark/>
          </w:tcPr>
          <w:p w14:paraId="4CB6BAC0" w14:textId="77777777" w:rsidR="003D56F7" w:rsidRPr="00B969E5" w:rsidRDefault="003D56F7" w:rsidP="00585F8F">
            <w:pPr>
              <w:pStyle w:val="TableHeading"/>
              <w:jc w:val="center"/>
              <w:rPr>
                <w:color w:val="FFFFFF" w:themeColor="background1"/>
              </w:rPr>
            </w:pPr>
            <w:r w:rsidRPr="00B969E5">
              <w:t>Quarter ago</w:t>
            </w:r>
          </w:p>
          <w:p w14:paraId="1209225F" w14:textId="192722FB" w:rsidR="003D56F7" w:rsidRPr="00B969E5" w:rsidRDefault="003D56F7" w:rsidP="00585F8F">
            <w:pPr>
              <w:pStyle w:val="TableHeading"/>
              <w:jc w:val="center"/>
            </w:pPr>
            <w:r w:rsidRPr="00B969E5">
              <w:t>close ($)</w:t>
            </w:r>
          </w:p>
        </w:tc>
        <w:tc>
          <w:tcPr>
            <w:tcW w:w="455" w:type="pct"/>
            <w:vAlign w:val="center"/>
            <w:hideMark/>
          </w:tcPr>
          <w:p w14:paraId="4FE5292E" w14:textId="77777777" w:rsidR="003D56F7" w:rsidRPr="00B969E5" w:rsidRDefault="003D56F7" w:rsidP="00585F8F">
            <w:pPr>
              <w:pStyle w:val="TableHeading"/>
              <w:jc w:val="center"/>
              <w:rPr>
                <w:color w:val="FFFFFF" w:themeColor="background1"/>
              </w:rPr>
            </w:pPr>
            <w:r w:rsidRPr="00B969E5">
              <w:t>Quarter</w:t>
            </w:r>
          </w:p>
          <w:p w14:paraId="42C0B8AD" w14:textId="77777777" w:rsidR="00585F8F" w:rsidRDefault="00585F8F" w:rsidP="00585F8F">
            <w:pPr>
              <w:pStyle w:val="TableHeading"/>
              <w:jc w:val="center"/>
            </w:pPr>
            <w:r>
              <w:t>Price return</w:t>
            </w:r>
          </w:p>
          <w:p w14:paraId="037862DE" w14:textId="75C286F7" w:rsidR="003D56F7" w:rsidRPr="00B969E5" w:rsidRDefault="003D56F7" w:rsidP="00585F8F">
            <w:pPr>
              <w:pStyle w:val="TableHeading"/>
              <w:jc w:val="center"/>
            </w:pPr>
            <w:r w:rsidRPr="00B969E5">
              <w:t>(%)</w:t>
            </w:r>
          </w:p>
        </w:tc>
        <w:tc>
          <w:tcPr>
            <w:tcW w:w="533" w:type="pct"/>
            <w:vAlign w:val="center"/>
            <w:hideMark/>
          </w:tcPr>
          <w:p w14:paraId="75F2ED60" w14:textId="77777777" w:rsidR="003D56F7" w:rsidRPr="00B969E5" w:rsidRDefault="003D56F7" w:rsidP="00585F8F">
            <w:pPr>
              <w:pStyle w:val="TableHeading"/>
              <w:jc w:val="center"/>
              <w:rPr>
                <w:color w:val="FFFFFF" w:themeColor="background1"/>
              </w:rPr>
            </w:pPr>
            <w:r w:rsidRPr="00B969E5">
              <w:t>Year ago,</w:t>
            </w:r>
          </w:p>
          <w:p w14:paraId="3C7595A5" w14:textId="0389671A" w:rsidR="003D56F7" w:rsidRPr="00B969E5" w:rsidRDefault="003D56F7" w:rsidP="00585F8F">
            <w:pPr>
              <w:pStyle w:val="TableHeading"/>
              <w:jc w:val="center"/>
            </w:pPr>
            <w:r w:rsidRPr="00B969E5">
              <w:t>close ($)</w:t>
            </w:r>
          </w:p>
        </w:tc>
        <w:tc>
          <w:tcPr>
            <w:tcW w:w="437" w:type="pct"/>
            <w:vAlign w:val="center"/>
            <w:hideMark/>
          </w:tcPr>
          <w:p w14:paraId="633BD9E7" w14:textId="51870727" w:rsidR="003D56F7" w:rsidRPr="00B969E5" w:rsidRDefault="00585F8F" w:rsidP="00585F8F">
            <w:pPr>
              <w:pStyle w:val="TableHeading"/>
              <w:jc w:val="center"/>
              <w:rPr>
                <w:color w:val="FFFFFF" w:themeColor="background1"/>
              </w:rPr>
            </w:pPr>
            <w:r>
              <w:t>Annual Price Return</w:t>
            </w:r>
          </w:p>
          <w:p w14:paraId="05FAC139" w14:textId="23118BCC" w:rsidR="003D56F7" w:rsidRPr="00B969E5" w:rsidRDefault="003D56F7" w:rsidP="00585F8F">
            <w:pPr>
              <w:pStyle w:val="TableHeading"/>
              <w:jc w:val="center"/>
            </w:pPr>
            <w:r w:rsidRPr="00B969E5">
              <w:t>(%)</w:t>
            </w:r>
          </w:p>
        </w:tc>
      </w:tr>
      <w:tr w:rsidR="00F77277" w:rsidRPr="00B969E5" w14:paraId="68E0A5E7" w14:textId="77777777" w:rsidTr="00341759">
        <w:trPr>
          <w:trHeight w:val="303"/>
        </w:trPr>
        <w:tc>
          <w:tcPr>
            <w:tcW w:w="435" w:type="pct"/>
            <w:noWrap/>
            <w:vAlign w:val="center"/>
            <w:hideMark/>
          </w:tcPr>
          <w:p w14:paraId="78CDC1C8" w14:textId="01F5FF4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CCL</w:t>
            </w:r>
          </w:p>
        </w:tc>
        <w:tc>
          <w:tcPr>
            <w:tcW w:w="1253" w:type="pct"/>
            <w:gridSpan w:val="2"/>
            <w:noWrap/>
            <w:vAlign w:val="center"/>
            <w:hideMark/>
          </w:tcPr>
          <w:p w14:paraId="08900813" w14:textId="46CEDA6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Coca-Cola Amatil Ltd</w:t>
            </w:r>
          </w:p>
        </w:tc>
        <w:tc>
          <w:tcPr>
            <w:tcW w:w="435" w:type="pct"/>
            <w:noWrap/>
            <w:vAlign w:val="center"/>
            <w:hideMark/>
          </w:tcPr>
          <w:p w14:paraId="18928278" w14:textId="0356471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12.43</w:t>
            </w:r>
          </w:p>
        </w:tc>
        <w:tc>
          <w:tcPr>
            <w:tcW w:w="490" w:type="pct"/>
            <w:noWrap/>
            <w:vAlign w:val="center"/>
            <w:hideMark/>
          </w:tcPr>
          <w:p w14:paraId="47A3E699" w14:textId="496A8C7A"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9.50</w:t>
            </w:r>
          </w:p>
        </w:tc>
        <w:tc>
          <w:tcPr>
            <w:tcW w:w="481" w:type="pct"/>
            <w:noWrap/>
            <w:vAlign w:val="center"/>
            <w:hideMark/>
          </w:tcPr>
          <w:p w14:paraId="75D24D7A" w14:textId="5558893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30.8</w:t>
            </w:r>
          </w:p>
        </w:tc>
        <w:tc>
          <w:tcPr>
            <w:tcW w:w="481" w:type="pct"/>
            <w:noWrap/>
            <w:vAlign w:val="center"/>
            <w:hideMark/>
          </w:tcPr>
          <w:p w14:paraId="1FF32F9E" w14:textId="4F5D868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8.18</w:t>
            </w:r>
          </w:p>
        </w:tc>
        <w:tc>
          <w:tcPr>
            <w:tcW w:w="455" w:type="pct"/>
            <w:noWrap/>
            <w:vAlign w:val="center"/>
            <w:hideMark/>
          </w:tcPr>
          <w:p w14:paraId="4F768243" w14:textId="3924C02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52.0</w:t>
            </w:r>
          </w:p>
        </w:tc>
        <w:tc>
          <w:tcPr>
            <w:tcW w:w="533" w:type="pct"/>
            <w:noWrap/>
            <w:vAlign w:val="center"/>
            <w:hideMark/>
          </w:tcPr>
          <w:p w14:paraId="10701138" w14:textId="56AA7B4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10.15</w:t>
            </w:r>
          </w:p>
        </w:tc>
        <w:tc>
          <w:tcPr>
            <w:tcW w:w="437" w:type="pct"/>
            <w:noWrap/>
            <w:vAlign w:val="center"/>
            <w:hideMark/>
          </w:tcPr>
          <w:p w14:paraId="365152C2" w14:textId="4590801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22.5</w:t>
            </w:r>
          </w:p>
        </w:tc>
      </w:tr>
      <w:tr w:rsidR="00F77277" w:rsidRPr="00B969E5" w14:paraId="3A4E3A9B" w14:textId="77777777" w:rsidTr="00341759">
        <w:trPr>
          <w:cnfStyle w:val="000000010000" w:firstRow="0" w:lastRow="0" w:firstColumn="0" w:lastColumn="0" w:oddVBand="0" w:evenVBand="0" w:oddHBand="0" w:evenHBand="1" w:firstRowFirstColumn="0" w:firstRowLastColumn="0" w:lastRowFirstColumn="0" w:lastRowLastColumn="0"/>
          <w:trHeight w:val="285"/>
        </w:trPr>
        <w:tc>
          <w:tcPr>
            <w:tcW w:w="435" w:type="pct"/>
            <w:noWrap/>
            <w:vAlign w:val="center"/>
            <w:hideMark/>
          </w:tcPr>
          <w:p w14:paraId="0D498F6C" w14:textId="3EB1692F"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LNK</w:t>
            </w:r>
          </w:p>
        </w:tc>
        <w:tc>
          <w:tcPr>
            <w:tcW w:w="1253" w:type="pct"/>
            <w:gridSpan w:val="2"/>
            <w:noWrap/>
            <w:vAlign w:val="center"/>
            <w:hideMark/>
          </w:tcPr>
          <w:p w14:paraId="5A0FE96A" w14:textId="70E6DE1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Link Administration Holdings</w:t>
            </w:r>
          </w:p>
        </w:tc>
        <w:tc>
          <w:tcPr>
            <w:tcW w:w="435" w:type="pct"/>
            <w:noWrap/>
            <w:vAlign w:val="center"/>
            <w:hideMark/>
          </w:tcPr>
          <w:p w14:paraId="2F7A76C7" w14:textId="316A6C40"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4.77</w:t>
            </w:r>
          </w:p>
        </w:tc>
        <w:tc>
          <w:tcPr>
            <w:tcW w:w="490" w:type="pct"/>
            <w:noWrap/>
            <w:vAlign w:val="center"/>
            <w:hideMark/>
          </w:tcPr>
          <w:p w14:paraId="082B8005" w14:textId="3967BB9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3.73</w:t>
            </w:r>
          </w:p>
        </w:tc>
        <w:tc>
          <w:tcPr>
            <w:tcW w:w="481" w:type="pct"/>
            <w:noWrap/>
            <w:vAlign w:val="center"/>
            <w:hideMark/>
          </w:tcPr>
          <w:p w14:paraId="07DAFD7C" w14:textId="7D8A074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27.9</w:t>
            </w:r>
          </w:p>
        </w:tc>
        <w:tc>
          <w:tcPr>
            <w:tcW w:w="481" w:type="pct"/>
            <w:noWrap/>
            <w:vAlign w:val="center"/>
            <w:hideMark/>
          </w:tcPr>
          <w:p w14:paraId="773B4454" w14:textId="245AF76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3.98</w:t>
            </w:r>
          </w:p>
        </w:tc>
        <w:tc>
          <w:tcPr>
            <w:tcW w:w="455" w:type="pct"/>
            <w:noWrap/>
            <w:vAlign w:val="center"/>
            <w:hideMark/>
          </w:tcPr>
          <w:p w14:paraId="37B932E4" w14:textId="3B74BB3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19.8</w:t>
            </w:r>
          </w:p>
        </w:tc>
        <w:tc>
          <w:tcPr>
            <w:tcW w:w="533" w:type="pct"/>
            <w:noWrap/>
            <w:vAlign w:val="center"/>
            <w:hideMark/>
          </w:tcPr>
          <w:p w14:paraId="56E22FB7" w14:textId="0853F8E1"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5.60</w:t>
            </w:r>
          </w:p>
        </w:tc>
        <w:tc>
          <w:tcPr>
            <w:tcW w:w="437" w:type="pct"/>
            <w:noWrap/>
            <w:vAlign w:val="center"/>
            <w:hideMark/>
          </w:tcPr>
          <w:p w14:paraId="3E4D65FC" w14:textId="6D0ADB7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-14.8</w:t>
            </w:r>
          </w:p>
        </w:tc>
      </w:tr>
      <w:tr w:rsidR="00F77277" w:rsidRPr="00B969E5" w14:paraId="4663E3BA" w14:textId="77777777" w:rsidTr="00341759">
        <w:trPr>
          <w:trHeight w:val="275"/>
        </w:trPr>
        <w:tc>
          <w:tcPr>
            <w:tcW w:w="435" w:type="pct"/>
            <w:noWrap/>
            <w:vAlign w:val="center"/>
            <w:hideMark/>
          </w:tcPr>
          <w:p w14:paraId="662B1FC7" w14:textId="16845308"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VUK</w:t>
            </w:r>
          </w:p>
        </w:tc>
        <w:tc>
          <w:tcPr>
            <w:tcW w:w="1253" w:type="pct"/>
            <w:gridSpan w:val="2"/>
            <w:noWrap/>
            <w:vAlign w:val="center"/>
            <w:hideMark/>
          </w:tcPr>
          <w:p w14:paraId="1F6EFC79" w14:textId="2D07BE7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 xml:space="preserve">Virgin Money </w:t>
            </w:r>
            <w:r>
              <w:rPr>
                <w:rFonts w:asciiTheme="majorHAnsi" w:hAnsiTheme="majorHAnsi" w:cstheme="majorHAnsi"/>
                <w:szCs w:val="18"/>
              </w:rPr>
              <w:t>UK</w:t>
            </w:r>
            <w:r w:rsidRPr="00F77277">
              <w:rPr>
                <w:rFonts w:asciiTheme="majorHAnsi" w:hAnsiTheme="majorHAnsi" w:cstheme="majorHAnsi"/>
                <w:szCs w:val="18"/>
              </w:rPr>
              <w:t xml:space="preserve"> Plc </w:t>
            </w:r>
            <w:r>
              <w:rPr>
                <w:rFonts w:asciiTheme="majorHAnsi" w:hAnsiTheme="majorHAnsi" w:cstheme="majorHAnsi"/>
                <w:szCs w:val="18"/>
              </w:rPr>
              <w:t>–</w:t>
            </w:r>
            <w:r w:rsidRPr="00F77277">
              <w:rPr>
                <w:rFonts w:asciiTheme="majorHAnsi" w:hAnsiTheme="majorHAnsi" w:cstheme="majorHAnsi"/>
                <w:szCs w:val="18"/>
              </w:rPr>
              <w:t xml:space="preserve"> </w:t>
            </w:r>
            <w:r>
              <w:rPr>
                <w:rFonts w:asciiTheme="majorHAnsi" w:hAnsiTheme="majorHAnsi" w:cstheme="majorHAnsi"/>
                <w:szCs w:val="18"/>
              </w:rPr>
              <w:t>CDI</w:t>
            </w:r>
          </w:p>
        </w:tc>
        <w:tc>
          <w:tcPr>
            <w:tcW w:w="435" w:type="pct"/>
            <w:noWrap/>
            <w:vAlign w:val="center"/>
            <w:hideMark/>
          </w:tcPr>
          <w:p w14:paraId="7FD86600" w14:textId="6B8B092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1.64</w:t>
            </w:r>
          </w:p>
        </w:tc>
        <w:tc>
          <w:tcPr>
            <w:tcW w:w="490" w:type="pct"/>
            <w:noWrap/>
            <w:vAlign w:val="center"/>
            <w:hideMark/>
          </w:tcPr>
          <w:p w14:paraId="2BCE091C" w14:textId="1BF7C64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1.30</w:t>
            </w:r>
          </w:p>
        </w:tc>
        <w:tc>
          <w:tcPr>
            <w:tcW w:w="481" w:type="pct"/>
            <w:noWrap/>
            <w:vAlign w:val="center"/>
            <w:hideMark/>
          </w:tcPr>
          <w:p w14:paraId="1A403B6F" w14:textId="7E04B80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26.6</w:t>
            </w:r>
          </w:p>
        </w:tc>
        <w:tc>
          <w:tcPr>
            <w:tcW w:w="481" w:type="pct"/>
            <w:noWrap/>
            <w:vAlign w:val="center"/>
            <w:hideMark/>
          </w:tcPr>
          <w:p w14:paraId="2D34D702" w14:textId="25511A2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1.63</w:t>
            </w:r>
          </w:p>
        </w:tc>
        <w:tc>
          <w:tcPr>
            <w:tcW w:w="455" w:type="pct"/>
            <w:noWrap/>
            <w:vAlign w:val="center"/>
            <w:hideMark/>
          </w:tcPr>
          <w:p w14:paraId="5F293EB7" w14:textId="2AD23B1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0.9</w:t>
            </w:r>
          </w:p>
        </w:tc>
        <w:tc>
          <w:tcPr>
            <w:tcW w:w="533" w:type="pct"/>
            <w:noWrap/>
            <w:vAlign w:val="center"/>
            <w:hideMark/>
          </w:tcPr>
          <w:p w14:paraId="4C57EE43" w14:textId="3288BA20"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2.59</w:t>
            </w:r>
          </w:p>
        </w:tc>
        <w:tc>
          <w:tcPr>
            <w:tcW w:w="437" w:type="pct"/>
            <w:noWrap/>
            <w:vAlign w:val="center"/>
            <w:hideMark/>
          </w:tcPr>
          <w:p w14:paraId="645C5CE0" w14:textId="71B4D8CA"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-36.7</w:t>
            </w:r>
          </w:p>
        </w:tc>
      </w:tr>
      <w:tr w:rsidR="00F77277" w:rsidRPr="00B969E5" w14:paraId="3E257944" w14:textId="77777777" w:rsidTr="00341759">
        <w:trPr>
          <w:cnfStyle w:val="000000010000" w:firstRow="0" w:lastRow="0" w:firstColumn="0" w:lastColumn="0" w:oddVBand="0" w:evenVBand="0" w:oddHBand="0" w:evenHBand="1" w:firstRowFirstColumn="0" w:firstRowLastColumn="0" w:lastRowFirstColumn="0" w:lastRowLastColumn="0"/>
          <w:trHeight w:val="293"/>
        </w:trPr>
        <w:tc>
          <w:tcPr>
            <w:tcW w:w="435" w:type="pct"/>
            <w:noWrap/>
            <w:vAlign w:val="center"/>
            <w:hideMark/>
          </w:tcPr>
          <w:p w14:paraId="0124350F" w14:textId="5891D50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CGF</w:t>
            </w:r>
          </w:p>
        </w:tc>
        <w:tc>
          <w:tcPr>
            <w:tcW w:w="1253" w:type="pct"/>
            <w:gridSpan w:val="2"/>
            <w:noWrap/>
            <w:vAlign w:val="center"/>
            <w:hideMark/>
          </w:tcPr>
          <w:p w14:paraId="651435CC" w14:textId="29DD6FB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Challenger Ltd</w:t>
            </w:r>
          </w:p>
        </w:tc>
        <w:tc>
          <w:tcPr>
            <w:tcW w:w="435" w:type="pct"/>
            <w:noWrap/>
            <w:vAlign w:val="center"/>
            <w:hideMark/>
          </w:tcPr>
          <w:p w14:paraId="5360B989" w14:textId="380BC3A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4.81</w:t>
            </w:r>
          </w:p>
        </w:tc>
        <w:tc>
          <w:tcPr>
            <w:tcW w:w="490" w:type="pct"/>
            <w:noWrap/>
            <w:vAlign w:val="center"/>
            <w:hideMark/>
          </w:tcPr>
          <w:p w14:paraId="40BAADB0" w14:textId="3F4E01D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3.83</w:t>
            </w:r>
          </w:p>
        </w:tc>
        <w:tc>
          <w:tcPr>
            <w:tcW w:w="481" w:type="pct"/>
            <w:noWrap/>
            <w:vAlign w:val="center"/>
            <w:hideMark/>
          </w:tcPr>
          <w:p w14:paraId="54A60883" w14:textId="2FF9064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25.6</w:t>
            </w:r>
          </w:p>
        </w:tc>
        <w:tc>
          <w:tcPr>
            <w:tcW w:w="481" w:type="pct"/>
            <w:noWrap/>
            <w:vAlign w:val="center"/>
            <w:hideMark/>
          </w:tcPr>
          <w:p w14:paraId="00A15FB0" w14:textId="0E493A4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4.34</w:t>
            </w:r>
          </w:p>
        </w:tc>
        <w:tc>
          <w:tcPr>
            <w:tcW w:w="455" w:type="pct"/>
            <w:noWrap/>
            <w:vAlign w:val="center"/>
            <w:hideMark/>
          </w:tcPr>
          <w:p w14:paraId="49E08B19" w14:textId="72D87B4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10.8</w:t>
            </w:r>
          </w:p>
        </w:tc>
        <w:tc>
          <w:tcPr>
            <w:tcW w:w="533" w:type="pct"/>
            <w:noWrap/>
            <w:vAlign w:val="center"/>
            <w:hideMark/>
          </w:tcPr>
          <w:p w14:paraId="464525B5" w14:textId="1ADEEAA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7.96</w:t>
            </w:r>
          </w:p>
        </w:tc>
        <w:tc>
          <w:tcPr>
            <w:tcW w:w="437" w:type="pct"/>
            <w:noWrap/>
            <w:vAlign w:val="center"/>
            <w:hideMark/>
          </w:tcPr>
          <w:p w14:paraId="65C47E13" w14:textId="53E86094"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-39.6</w:t>
            </w:r>
          </w:p>
        </w:tc>
      </w:tr>
      <w:tr w:rsidR="00F77277" w:rsidRPr="00B969E5" w14:paraId="00D599D0" w14:textId="77777777" w:rsidTr="00341759">
        <w:trPr>
          <w:trHeight w:val="283"/>
        </w:trPr>
        <w:tc>
          <w:tcPr>
            <w:tcW w:w="435" w:type="pct"/>
            <w:noWrap/>
            <w:vAlign w:val="center"/>
            <w:hideMark/>
          </w:tcPr>
          <w:p w14:paraId="3EAA01CA" w14:textId="39A57DB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SGM</w:t>
            </w:r>
          </w:p>
        </w:tc>
        <w:tc>
          <w:tcPr>
            <w:tcW w:w="1253" w:type="pct"/>
            <w:gridSpan w:val="2"/>
            <w:noWrap/>
            <w:vAlign w:val="center"/>
            <w:hideMark/>
          </w:tcPr>
          <w:p w14:paraId="1B13854A" w14:textId="18648F1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Sims Ltd</w:t>
            </w:r>
          </w:p>
        </w:tc>
        <w:tc>
          <w:tcPr>
            <w:tcW w:w="435" w:type="pct"/>
            <w:noWrap/>
            <w:vAlign w:val="center"/>
            <w:hideMark/>
          </w:tcPr>
          <w:p w14:paraId="56ED38BB" w14:textId="67A59C5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9.51</w:t>
            </w:r>
          </w:p>
        </w:tc>
        <w:tc>
          <w:tcPr>
            <w:tcW w:w="490" w:type="pct"/>
            <w:noWrap/>
            <w:vAlign w:val="center"/>
            <w:hideMark/>
          </w:tcPr>
          <w:p w14:paraId="65A63765" w14:textId="7A9DE21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7.58</w:t>
            </w:r>
          </w:p>
        </w:tc>
        <w:tc>
          <w:tcPr>
            <w:tcW w:w="481" w:type="pct"/>
            <w:noWrap/>
            <w:vAlign w:val="center"/>
            <w:hideMark/>
          </w:tcPr>
          <w:p w14:paraId="34A81940" w14:textId="7A6FEAB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25.5</w:t>
            </w:r>
          </w:p>
        </w:tc>
        <w:tc>
          <w:tcPr>
            <w:tcW w:w="481" w:type="pct"/>
            <w:noWrap/>
            <w:vAlign w:val="center"/>
            <w:hideMark/>
          </w:tcPr>
          <w:p w14:paraId="2FDD73E2" w14:textId="47FF034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7.95</w:t>
            </w:r>
          </w:p>
        </w:tc>
        <w:tc>
          <w:tcPr>
            <w:tcW w:w="455" w:type="pct"/>
            <w:noWrap/>
            <w:vAlign w:val="center"/>
            <w:hideMark/>
          </w:tcPr>
          <w:p w14:paraId="5DB37174" w14:textId="1384C74F"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19.6</w:t>
            </w:r>
          </w:p>
        </w:tc>
        <w:tc>
          <w:tcPr>
            <w:tcW w:w="533" w:type="pct"/>
            <w:noWrap/>
            <w:vAlign w:val="center"/>
            <w:hideMark/>
          </w:tcPr>
          <w:p w14:paraId="48144C80" w14:textId="6B76C794"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9.35</w:t>
            </w:r>
          </w:p>
        </w:tc>
        <w:tc>
          <w:tcPr>
            <w:tcW w:w="437" w:type="pct"/>
            <w:noWrap/>
            <w:vAlign w:val="center"/>
            <w:hideMark/>
          </w:tcPr>
          <w:p w14:paraId="4DC7B0C7" w14:textId="34EC6C6F"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1.7</w:t>
            </w:r>
          </w:p>
        </w:tc>
      </w:tr>
      <w:tr w:rsidR="00F77277" w:rsidRPr="00B969E5" w14:paraId="117F02CE" w14:textId="77777777" w:rsidTr="00341759">
        <w:trPr>
          <w:cnfStyle w:val="000000010000" w:firstRow="0" w:lastRow="0" w:firstColumn="0" w:lastColumn="0" w:oddVBand="0" w:evenVBand="0" w:oddHBand="0" w:evenHBand="1" w:firstRowFirstColumn="0" w:firstRowLastColumn="0" w:lastRowFirstColumn="0" w:lastRowLastColumn="0"/>
          <w:trHeight w:val="287"/>
        </w:trPr>
        <w:tc>
          <w:tcPr>
            <w:tcW w:w="435" w:type="pct"/>
            <w:noWrap/>
            <w:vAlign w:val="center"/>
            <w:hideMark/>
          </w:tcPr>
          <w:p w14:paraId="1D7A7A09" w14:textId="7E80439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LYC</w:t>
            </w:r>
          </w:p>
        </w:tc>
        <w:tc>
          <w:tcPr>
            <w:tcW w:w="1253" w:type="pct"/>
            <w:gridSpan w:val="2"/>
            <w:noWrap/>
            <w:vAlign w:val="center"/>
            <w:hideMark/>
          </w:tcPr>
          <w:p w14:paraId="7EA86AF5" w14:textId="633D6B2A"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Lynas Corp Ltd</w:t>
            </w:r>
          </w:p>
        </w:tc>
        <w:tc>
          <w:tcPr>
            <w:tcW w:w="435" w:type="pct"/>
            <w:noWrap/>
            <w:vAlign w:val="center"/>
            <w:hideMark/>
          </w:tcPr>
          <w:p w14:paraId="1E1C2D7B" w14:textId="6597ACC1"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2.83</w:t>
            </w:r>
          </w:p>
        </w:tc>
        <w:tc>
          <w:tcPr>
            <w:tcW w:w="490" w:type="pct"/>
            <w:noWrap/>
            <w:vAlign w:val="center"/>
            <w:hideMark/>
          </w:tcPr>
          <w:p w14:paraId="3A099C47" w14:textId="41687FE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2.32</w:t>
            </w:r>
          </w:p>
        </w:tc>
        <w:tc>
          <w:tcPr>
            <w:tcW w:w="481" w:type="pct"/>
            <w:noWrap/>
            <w:vAlign w:val="center"/>
            <w:hideMark/>
          </w:tcPr>
          <w:p w14:paraId="1DBD2C68" w14:textId="313846A4"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22.0</w:t>
            </w:r>
          </w:p>
        </w:tc>
        <w:tc>
          <w:tcPr>
            <w:tcW w:w="481" w:type="pct"/>
            <w:noWrap/>
            <w:vAlign w:val="center"/>
            <w:hideMark/>
          </w:tcPr>
          <w:p w14:paraId="7D5D58BC" w14:textId="6CE0B628"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2.20</w:t>
            </w:r>
          </w:p>
        </w:tc>
        <w:tc>
          <w:tcPr>
            <w:tcW w:w="455" w:type="pct"/>
            <w:noWrap/>
            <w:vAlign w:val="center"/>
            <w:hideMark/>
          </w:tcPr>
          <w:p w14:paraId="01222507" w14:textId="6FD806B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28.7</w:t>
            </w:r>
          </w:p>
        </w:tc>
        <w:tc>
          <w:tcPr>
            <w:tcW w:w="533" w:type="pct"/>
            <w:noWrap/>
            <w:vAlign w:val="center"/>
            <w:hideMark/>
          </w:tcPr>
          <w:p w14:paraId="15F3336B" w14:textId="58A5807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2.45</w:t>
            </w:r>
          </w:p>
        </w:tc>
        <w:tc>
          <w:tcPr>
            <w:tcW w:w="437" w:type="pct"/>
            <w:noWrap/>
            <w:vAlign w:val="center"/>
            <w:hideMark/>
          </w:tcPr>
          <w:p w14:paraId="2E085A5A" w14:textId="7326FB7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15.7</w:t>
            </w:r>
          </w:p>
        </w:tc>
      </w:tr>
      <w:tr w:rsidR="00F77277" w:rsidRPr="00B969E5" w14:paraId="440913D4" w14:textId="77777777" w:rsidTr="00341759">
        <w:trPr>
          <w:trHeight w:val="277"/>
        </w:trPr>
        <w:tc>
          <w:tcPr>
            <w:tcW w:w="435" w:type="pct"/>
            <w:noWrap/>
            <w:vAlign w:val="center"/>
            <w:hideMark/>
          </w:tcPr>
          <w:p w14:paraId="509B5B56" w14:textId="23C71EA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APT</w:t>
            </w:r>
          </w:p>
        </w:tc>
        <w:tc>
          <w:tcPr>
            <w:tcW w:w="1253" w:type="pct"/>
            <w:gridSpan w:val="2"/>
            <w:noWrap/>
            <w:vAlign w:val="center"/>
            <w:hideMark/>
          </w:tcPr>
          <w:p w14:paraId="730BC0CD" w14:textId="044574A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Afterpay Ltd</w:t>
            </w:r>
          </w:p>
        </w:tc>
        <w:tc>
          <w:tcPr>
            <w:tcW w:w="435" w:type="pct"/>
            <w:noWrap/>
            <w:vAlign w:val="center"/>
            <w:hideMark/>
          </w:tcPr>
          <w:p w14:paraId="24F076CE" w14:textId="59A72B0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96.69</w:t>
            </w:r>
          </w:p>
        </w:tc>
        <w:tc>
          <w:tcPr>
            <w:tcW w:w="490" w:type="pct"/>
            <w:noWrap/>
            <w:vAlign w:val="center"/>
            <w:hideMark/>
          </w:tcPr>
          <w:p w14:paraId="380A79E7" w14:textId="0488537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79.99</w:t>
            </w:r>
          </w:p>
        </w:tc>
        <w:tc>
          <w:tcPr>
            <w:tcW w:w="481" w:type="pct"/>
            <w:noWrap/>
            <w:vAlign w:val="center"/>
            <w:hideMark/>
          </w:tcPr>
          <w:p w14:paraId="04F36E2F" w14:textId="2A617E7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20.9</w:t>
            </w:r>
          </w:p>
        </w:tc>
        <w:tc>
          <w:tcPr>
            <w:tcW w:w="481" w:type="pct"/>
            <w:noWrap/>
            <w:vAlign w:val="center"/>
            <w:hideMark/>
          </w:tcPr>
          <w:p w14:paraId="09D6BDB2" w14:textId="274D63F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68.54</w:t>
            </w:r>
          </w:p>
        </w:tc>
        <w:tc>
          <w:tcPr>
            <w:tcW w:w="455" w:type="pct"/>
            <w:noWrap/>
            <w:vAlign w:val="center"/>
            <w:hideMark/>
          </w:tcPr>
          <w:p w14:paraId="0E38071F" w14:textId="1D40AEC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41.1</w:t>
            </w:r>
          </w:p>
        </w:tc>
        <w:tc>
          <w:tcPr>
            <w:tcW w:w="533" w:type="pct"/>
            <w:noWrap/>
            <w:vAlign w:val="center"/>
            <w:hideMark/>
          </w:tcPr>
          <w:p w14:paraId="1675DF3F" w14:textId="6CBA64C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28.86</w:t>
            </w:r>
          </w:p>
        </w:tc>
        <w:tc>
          <w:tcPr>
            <w:tcW w:w="437" w:type="pct"/>
            <w:noWrap/>
            <w:vAlign w:val="center"/>
            <w:hideMark/>
          </w:tcPr>
          <w:p w14:paraId="43022317" w14:textId="10D7F451"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235.0</w:t>
            </w:r>
          </w:p>
        </w:tc>
      </w:tr>
      <w:tr w:rsidR="00F77277" w:rsidRPr="00B969E5" w14:paraId="74953FB4" w14:textId="77777777" w:rsidTr="00341759">
        <w:trPr>
          <w:cnfStyle w:val="000000010000" w:firstRow="0" w:lastRow="0" w:firstColumn="0" w:lastColumn="0" w:oddVBand="0" w:evenVBand="0" w:oddHBand="0" w:evenHBand="1" w:firstRowFirstColumn="0" w:firstRowLastColumn="0" w:lastRowFirstColumn="0" w:lastRowLastColumn="0"/>
          <w:trHeight w:val="281"/>
        </w:trPr>
        <w:tc>
          <w:tcPr>
            <w:tcW w:w="435" w:type="pct"/>
            <w:noWrap/>
            <w:vAlign w:val="center"/>
            <w:hideMark/>
          </w:tcPr>
          <w:p w14:paraId="2B4A8A21" w14:textId="59D0C8E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URW</w:t>
            </w:r>
          </w:p>
        </w:tc>
        <w:tc>
          <w:tcPr>
            <w:tcW w:w="1253" w:type="pct"/>
            <w:gridSpan w:val="2"/>
            <w:noWrap/>
            <w:vAlign w:val="center"/>
            <w:hideMark/>
          </w:tcPr>
          <w:p w14:paraId="65A1CCDB" w14:textId="76F6BD61"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Unibail-Rodamco-Westfiel</w:t>
            </w:r>
            <w:r>
              <w:rPr>
                <w:rFonts w:asciiTheme="majorHAnsi" w:hAnsiTheme="majorHAnsi" w:cstheme="majorHAnsi"/>
                <w:szCs w:val="18"/>
              </w:rPr>
              <w:t>d</w:t>
            </w:r>
          </w:p>
        </w:tc>
        <w:tc>
          <w:tcPr>
            <w:tcW w:w="435" w:type="pct"/>
            <w:noWrap/>
            <w:vAlign w:val="center"/>
            <w:hideMark/>
          </w:tcPr>
          <w:p w14:paraId="0B3CE898" w14:textId="4CD14BFD"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2.90</w:t>
            </w:r>
          </w:p>
        </w:tc>
        <w:tc>
          <w:tcPr>
            <w:tcW w:w="490" w:type="pct"/>
            <w:noWrap/>
            <w:vAlign w:val="center"/>
            <w:hideMark/>
          </w:tcPr>
          <w:p w14:paraId="3AB3CC70" w14:textId="522D8FA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2.42</w:t>
            </w:r>
          </w:p>
        </w:tc>
        <w:tc>
          <w:tcPr>
            <w:tcW w:w="481" w:type="pct"/>
            <w:noWrap/>
            <w:vAlign w:val="center"/>
            <w:hideMark/>
          </w:tcPr>
          <w:p w14:paraId="1EB6A787" w14:textId="07320E4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19.8</w:t>
            </w:r>
          </w:p>
        </w:tc>
        <w:tc>
          <w:tcPr>
            <w:tcW w:w="481" w:type="pct"/>
            <w:noWrap/>
            <w:vAlign w:val="center"/>
            <w:hideMark/>
          </w:tcPr>
          <w:p w14:paraId="60459A6B" w14:textId="743EB75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3.62</w:t>
            </w:r>
          </w:p>
        </w:tc>
        <w:tc>
          <w:tcPr>
            <w:tcW w:w="455" w:type="pct"/>
            <w:noWrap/>
            <w:vAlign w:val="center"/>
            <w:hideMark/>
          </w:tcPr>
          <w:p w14:paraId="6941D36F" w14:textId="6065F43C"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-19.9</w:t>
            </w:r>
          </w:p>
        </w:tc>
        <w:tc>
          <w:tcPr>
            <w:tcW w:w="533" w:type="pct"/>
            <w:noWrap/>
            <w:vAlign w:val="center"/>
            <w:hideMark/>
          </w:tcPr>
          <w:p w14:paraId="1D593DFD" w14:textId="330EF84A"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11.10</w:t>
            </w:r>
          </w:p>
        </w:tc>
        <w:tc>
          <w:tcPr>
            <w:tcW w:w="437" w:type="pct"/>
            <w:noWrap/>
            <w:vAlign w:val="center"/>
            <w:hideMark/>
          </w:tcPr>
          <w:p w14:paraId="03ABE5A3" w14:textId="2C9B4FA6"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-73.9</w:t>
            </w:r>
          </w:p>
        </w:tc>
      </w:tr>
      <w:tr w:rsidR="00F77277" w:rsidRPr="00B969E5" w14:paraId="631B298E" w14:textId="77777777" w:rsidTr="00341759">
        <w:trPr>
          <w:trHeight w:val="285"/>
        </w:trPr>
        <w:tc>
          <w:tcPr>
            <w:tcW w:w="435" w:type="pct"/>
            <w:noWrap/>
            <w:vAlign w:val="center"/>
            <w:hideMark/>
          </w:tcPr>
          <w:p w14:paraId="1CB9E403" w14:textId="2DA4C44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PME</w:t>
            </w:r>
          </w:p>
        </w:tc>
        <w:tc>
          <w:tcPr>
            <w:tcW w:w="1253" w:type="pct"/>
            <w:gridSpan w:val="2"/>
            <w:noWrap/>
            <w:vAlign w:val="center"/>
            <w:hideMark/>
          </w:tcPr>
          <w:p w14:paraId="226D183D" w14:textId="2DFE6CF0"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Pro Medicus Ltd</w:t>
            </w:r>
          </w:p>
        </w:tc>
        <w:tc>
          <w:tcPr>
            <w:tcW w:w="435" w:type="pct"/>
            <w:noWrap/>
            <w:vAlign w:val="center"/>
            <w:hideMark/>
          </w:tcPr>
          <w:p w14:paraId="4E47AB22" w14:textId="3DE1DEA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32.39</w:t>
            </w:r>
          </w:p>
        </w:tc>
        <w:tc>
          <w:tcPr>
            <w:tcW w:w="490" w:type="pct"/>
            <w:noWrap/>
            <w:vAlign w:val="center"/>
            <w:hideMark/>
          </w:tcPr>
          <w:p w14:paraId="2E7D226D" w14:textId="1A7266E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27.07</w:t>
            </w:r>
          </w:p>
        </w:tc>
        <w:tc>
          <w:tcPr>
            <w:tcW w:w="481" w:type="pct"/>
            <w:noWrap/>
            <w:vAlign w:val="center"/>
            <w:hideMark/>
          </w:tcPr>
          <w:p w14:paraId="119E78BB" w14:textId="4C93720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19.7</w:t>
            </w:r>
          </w:p>
        </w:tc>
        <w:tc>
          <w:tcPr>
            <w:tcW w:w="481" w:type="pct"/>
            <w:noWrap/>
            <w:vAlign w:val="center"/>
            <w:hideMark/>
          </w:tcPr>
          <w:p w14:paraId="078A5C34" w14:textId="7E67626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23.92</w:t>
            </w:r>
          </w:p>
        </w:tc>
        <w:tc>
          <w:tcPr>
            <w:tcW w:w="455" w:type="pct"/>
            <w:noWrap/>
            <w:vAlign w:val="center"/>
            <w:hideMark/>
          </w:tcPr>
          <w:p w14:paraId="61FFE831" w14:textId="059D3C3F"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35.4</w:t>
            </w:r>
          </w:p>
        </w:tc>
        <w:tc>
          <w:tcPr>
            <w:tcW w:w="533" w:type="pct"/>
            <w:noWrap/>
            <w:vAlign w:val="center"/>
            <w:hideMark/>
          </w:tcPr>
          <w:p w14:paraId="317B8D92" w14:textId="7F127C60"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26.66</w:t>
            </w:r>
          </w:p>
        </w:tc>
        <w:tc>
          <w:tcPr>
            <w:tcW w:w="437" w:type="pct"/>
            <w:noWrap/>
            <w:vAlign w:val="center"/>
            <w:hideMark/>
          </w:tcPr>
          <w:p w14:paraId="6BF2F7D9" w14:textId="70C7866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21.5</w:t>
            </w:r>
          </w:p>
        </w:tc>
      </w:tr>
      <w:tr w:rsidR="00F77277" w:rsidRPr="00B969E5" w14:paraId="03B55852" w14:textId="77777777" w:rsidTr="00341759">
        <w:trPr>
          <w:cnfStyle w:val="000000010000" w:firstRow="0" w:lastRow="0" w:firstColumn="0" w:lastColumn="0" w:oddVBand="0" w:evenVBand="0" w:oddHBand="0" w:evenHBand="1" w:firstRowFirstColumn="0" w:firstRowLastColumn="0" w:lastRowFirstColumn="0" w:lastRowLastColumn="0"/>
          <w:trHeight w:val="331"/>
        </w:trPr>
        <w:tc>
          <w:tcPr>
            <w:tcW w:w="435" w:type="pct"/>
            <w:noWrap/>
            <w:vAlign w:val="center"/>
            <w:hideMark/>
          </w:tcPr>
          <w:p w14:paraId="241611D1" w14:textId="0B903207"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NEC</w:t>
            </w:r>
          </w:p>
        </w:tc>
        <w:tc>
          <w:tcPr>
            <w:tcW w:w="1253" w:type="pct"/>
            <w:gridSpan w:val="2"/>
            <w:noWrap/>
            <w:vAlign w:val="center"/>
            <w:hideMark/>
          </w:tcPr>
          <w:p w14:paraId="7DB6419C" w14:textId="4423C91B"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 xml:space="preserve">Nine Entertainment Co </w:t>
            </w:r>
            <w:r>
              <w:rPr>
                <w:rFonts w:asciiTheme="majorHAnsi" w:hAnsiTheme="majorHAnsi" w:cstheme="majorHAnsi"/>
                <w:szCs w:val="18"/>
              </w:rPr>
              <w:t>Hldgs</w:t>
            </w:r>
          </w:p>
        </w:tc>
        <w:tc>
          <w:tcPr>
            <w:tcW w:w="435" w:type="pct"/>
            <w:noWrap/>
            <w:vAlign w:val="center"/>
            <w:hideMark/>
          </w:tcPr>
          <w:p w14:paraId="53FFF0D6" w14:textId="5A50A64E"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2.08</w:t>
            </w:r>
          </w:p>
        </w:tc>
        <w:tc>
          <w:tcPr>
            <w:tcW w:w="490" w:type="pct"/>
            <w:noWrap/>
            <w:vAlign w:val="center"/>
            <w:hideMark/>
          </w:tcPr>
          <w:p w14:paraId="1CC722A0" w14:textId="676AF03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1.75</w:t>
            </w:r>
          </w:p>
        </w:tc>
        <w:tc>
          <w:tcPr>
            <w:tcW w:w="481" w:type="pct"/>
            <w:noWrap/>
            <w:vAlign w:val="center"/>
            <w:hideMark/>
          </w:tcPr>
          <w:p w14:paraId="1E8828A5" w14:textId="562D41C9"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19.2</w:t>
            </w:r>
          </w:p>
        </w:tc>
        <w:tc>
          <w:tcPr>
            <w:tcW w:w="481" w:type="pct"/>
            <w:noWrap/>
            <w:vAlign w:val="center"/>
            <w:hideMark/>
          </w:tcPr>
          <w:p w14:paraId="688C1795" w14:textId="70633972"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1.36</w:t>
            </w:r>
          </w:p>
        </w:tc>
        <w:tc>
          <w:tcPr>
            <w:tcW w:w="455" w:type="pct"/>
            <w:noWrap/>
            <w:vAlign w:val="center"/>
            <w:hideMark/>
          </w:tcPr>
          <w:p w14:paraId="6171A092" w14:textId="73241605"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53.5</w:t>
            </w:r>
          </w:p>
        </w:tc>
        <w:tc>
          <w:tcPr>
            <w:tcW w:w="533" w:type="pct"/>
            <w:noWrap/>
            <w:vAlign w:val="center"/>
            <w:hideMark/>
          </w:tcPr>
          <w:p w14:paraId="5F29DB07" w14:textId="6EBAFC03"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1.84</w:t>
            </w:r>
          </w:p>
        </w:tc>
        <w:tc>
          <w:tcPr>
            <w:tcW w:w="437" w:type="pct"/>
            <w:noWrap/>
            <w:vAlign w:val="center"/>
            <w:hideMark/>
          </w:tcPr>
          <w:p w14:paraId="63C47B26" w14:textId="6D75E2C0" w:rsidR="00F77277" w:rsidRPr="00F77277" w:rsidRDefault="00F77277" w:rsidP="00F77277">
            <w:pPr>
              <w:pStyle w:val="TableText"/>
              <w:rPr>
                <w:rFonts w:asciiTheme="majorHAnsi" w:hAnsiTheme="majorHAnsi" w:cstheme="majorHAnsi"/>
                <w:szCs w:val="18"/>
              </w:rPr>
            </w:pPr>
            <w:r w:rsidRPr="00F77277">
              <w:rPr>
                <w:rFonts w:asciiTheme="majorHAnsi" w:hAnsiTheme="majorHAnsi" w:cstheme="majorHAnsi"/>
                <w:szCs w:val="18"/>
              </w:rPr>
              <w:t>13.0</w:t>
            </w:r>
          </w:p>
        </w:tc>
      </w:tr>
    </w:tbl>
    <w:p w14:paraId="200CE90E" w14:textId="0D063755" w:rsidR="00E06B70" w:rsidRDefault="00E06B70" w:rsidP="003D56F7">
      <w:pPr>
        <w:pStyle w:val="Disclaimer"/>
      </w:pPr>
      <w:r>
        <w:t>Source: Bloomberg, IOOF</w:t>
      </w:r>
    </w:p>
    <w:p w14:paraId="2A556E7E" w14:textId="77777777" w:rsidR="00E06B70" w:rsidRDefault="00E06B70" w:rsidP="00243AA4">
      <w:pPr>
        <w:pStyle w:val="BodyText"/>
      </w:pPr>
    </w:p>
    <w:tbl>
      <w:tblPr>
        <w:tblStyle w:val="TableIOOF"/>
        <w:tblW w:w="5000" w:type="pct"/>
        <w:tblLayout w:type="fixed"/>
        <w:tblLook w:val="04A0" w:firstRow="1" w:lastRow="0" w:firstColumn="1" w:lastColumn="0" w:noHBand="0" w:noVBand="1"/>
      </w:tblPr>
      <w:tblGrid>
        <w:gridCol w:w="890"/>
        <w:gridCol w:w="2512"/>
        <w:gridCol w:w="934"/>
        <w:gridCol w:w="999"/>
        <w:gridCol w:w="981"/>
        <w:gridCol w:w="1054"/>
        <w:gridCol w:w="993"/>
        <w:gridCol w:w="952"/>
        <w:gridCol w:w="883"/>
      </w:tblGrid>
      <w:tr w:rsidR="00585F8F" w:rsidRPr="00B969E5" w14:paraId="33FFF58A" w14:textId="77777777" w:rsidTr="00F77277">
        <w:trPr>
          <w:cnfStyle w:val="100000000000" w:firstRow="1" w:lastRow="0" w:firstColumn="0" w:lastColumn="0" w:oddVBand="0" w:evenVBand="0" w:oddHBand="0" w:evenHBand="0" w:firstRowFirstColumn="0" w:firstRowLastColumn="0" w:lastRowFirstColumn="0" w:lastRowLastColumn="0"/>
          <w:trHeight w:val="780"/>
        </w:trPr>
        <w:tc>
          <w:tcPr>
            <w:tcW w:w="436" w:type="pct"/>
            <w:vAlign w:val="center"/>
            <w:hideMark/>
          </w:tcPr>
          <w:p w14:paraId="43F57409" w14:textId="77777777" w:rsidR="00585F8F" w:rsidRPr="00B969E5" w:rsidRDefault="00585F8F" w:rsidP="00585F8F">
            <w:pPr>
              <w:pStyle w:val="TableHeading"/>
              <w:jc w:val="center"/>
            </w:pPr>
            <w:r w:rsidRPr="00B969E5">
              <w:t>ASX</w:t>
            </w:r>
          </w:p>
          <w:p w14:paraId="001F1FF1" w14:textId="3A71584F" w:rsidR="00585F8F" w:rsidRPr="00B969E5" w:rsidRDefault="00585F8F" w:rsidP="00585F8F">
            <w:pPr>
              <w:pStyle w:val="TableHeading"/>
              <w:jc w:val="center"/>
            </w:pPr>
            <w:r w:rsidRPr="00B969E5">
              <w:t>Code</w:t>
            </w:r>
          </w:p>
        </w:tc>
        <w:tc>
          <w:tcPr>
            <w:tcW w:w="1231" w:type="pct"/>
            <w:vAlign w:val="center"/>
            <w:hideMark/>
          </w:tcPr>
          <w:p w14:paraId="451903B1" w14:textId="546C3C1C" w:rsidR="00585F8F" w:rsidRPr="00B969E5" w:rsidRDefault="00585F8F" w:rsidP="00585F8F">
            <w:pPr>
              <w:pStyle w:val="TableHeading"/>
              <w:jc w:val="center"/>
            </w:pPr>
            <w:r w:rsidRPr="00B969E5">
              <w:t>Company Name</w:t>
            </w:r>
          </w:p>
        </w:tc>
        <w:tc>
          <w:tcPr>
            <w:tcW w:w="458" w:type="pct"/>
            <w:vAlign w:val="center"/>
            <w:hideMark/>
          </w:tcPr>
          <w:p w14:paraId="6C762675" w14:textId="77777777" w:rsidR="00585F8F" w:rsidRPr="00B969E5" w:rsidRDefault="00585F8F" w:rsidP="00585F8F">
            <w:pPr>
              <w:pStyle w:val="TableHeading"/>
              <w:jc w:val="center"/>
              <w:rPr>
                <w:color w:val="FFFFFF" w:themeColor="background1"/>
              </w:rPr>
            </w:pPr>
            <w:r w:rsidRPr="00B969E5">
              <w:t>Closing</w:t>
            </w:r>
          </w:p>
          <w:p w14:paraId="6BAF7E68" w14:textId="0BAE586F" w:rsidR="00585F8F" w:rsidRPr="00B969E5" w:rsidRDefault="00585F8F" w:rsidP="00585F8F">
            <w:pPr>
              <w:pStyle w:val="TableHeading"/>
              <w:jc w:val="center"/>
            </w:pPr>
            <w:r w:rsidRPr="00B969E5">
              <w:t>price ($)</w:t>
            </w:r>
          </w:p>
        </w:tc>
        <w:tc>
          <w:tcPr>
            <w:tcW w:w="490" w:type="pct"/>
            <w:vAlign w:val="center"/>
            <w:hideMark/>
          </w:tcPr>
          <w:p w14:paraId="5A1E8536" w14:textId="77777777" w:rsidR="00585F8F" w:rsidRPr="00B969E5" w:rsidRDefault="00585F8F" w:rsidP="00585F8F">
            <w:pPr>
              <w:pStyle w:val="TableHeading"/>
              <w:jc w:val="center"/>
              <w:rPr>
                <w:color w:val="FFFFFF" w:themeColor="background1"/>
              </w:rPr>
            </w:pPr>
            <w:r w:rsidRPr="00B969E5">
              <w:t>Month ago,</w:t>
            </w:r>
          </w:p>
          <w:p w14:paraId="46915397" w14:textId="5FE95D94" w:rsidR="00585F8F" w:rsidRPr="00B969E5" w:rsidRDefault="00585F8F" w:rsidP="00585F8F">
            <w:pPr>
              <w:pStyle w:val="TableHeading"/>
              <w:jc w:val="center"/>
            </w:pPr>
            <w:r w:rsidRPr="00B969E5">
              <w:t>close ($)</w:t>
            </w:r>
          </w:p>
        </w:tc>
        <w:tc>
          <w:tcPr>
            <w:tcW w:w="481" w:type="pct"/>
            <w:vAlign w:val="center"/>
            <w:hideMark/>
          </w:tcPr>
          <w:p w14:paraId="27E6D829" w14:textId="77777777" w:rsidR="00585F8F" w:rsidRDefault="00585F8F" w:rsidP="00585F8F">
            <w:pPr>
              <w:pStyle w:val="TableHeading"/>
              <w:jc w:val="center"/>
            </w:pPr>
            <w:r w:rsidRPr="00B969E5">
              <w:t>Month</w:t>
            </w:r>
          </w:p>
          <w:p w14:paraId="5DFF5949" w14:textId="77777777" w:rsidR="00585F8F" w:rsidRPr="00B969E5" w:rsidRDefault="00585F8F" w:rsidP="00585F8F">
            <w:pPr>
              <w:pStyle w:val="TableHeading"/>
              <w:jc w:val="center"/>
              <w:rPr>
                <w:color w:val="FFFFFF" w:themeColor="background1"/>
              </w:rPr>
            </w:pPr>
            <w:r>
              <w:t>price</w:t>
            </w:r>
          </w:p>
          <w:p w14:paraId="5040B2C7" w14:textId="28112ECC" w:rsidR="00585F8F" w:rsidRPr="00B969E5" w:rsidRDefault="00585F8F" w:rsidP="00585F8F">
            <w:pPr>
              <w:pStyle w:val="TableHeading"/>
              <w:jc w:val="center"/>
            </w:pPr>
            <w:r>
              <w:t>return</w:t>
            </w:r>
            <w:r w:rsidRPr="00B969E5">
              <w:t xml:space="preserve"> (%)</w:t>
            </w:r>
          </w:p>
        </w:tc>
        <w:tc>
          <w:tcPr>
            <w:tcW w:w="517" w:type="pct"/>
            <w:vAlign w:val="center"/>
            <w:hideMark/>
          </w:tcPr>
          <w:p w14:paraId="5DBA4D95" w14:textId="77777777" w:rsidR="00585F8F" w:rsidRPr="00B969E5" w:rsidRDefault="00585F8F" w:rsidP="00585F8F">
            <w:pPr>
              <w:pStyle w:val="TableHeading"/>
              <w:jc w:val="center"/>
              <w:rPr>
                <w:color w:val="FFFFFF" w:themeColor="background1"/>
              </w:rPr>
            </w:pPr>
            <w:r w:rsidRPr="00B969E5">
              <w:t>Quarter ago</w:t>
            </w:r>
          </w:p>
          <w:p w14:paraId="5D175DD9" w14:textId="4F3F422B" w:rsidR="00585F8F" w:rsidRPr="00B969E5" w:rsidRDefault="00585F8F" w:rsidP="00585F8F">
            <w:pPr>
              <w:pStyle w:val="TableHeading"/>
              <w:jc w:val="center"/>
            </w:pPr>
            <w:r w:rsidRPr="00B969E5">
              <w:t>close ($)</w:t>
            </w:r>
          </w:p>
        </w:tc>
        <w:tc>
          <w:tcPr>
            <w:tcW w:w="487" w:type="pct"/>
            <w:vAlign w:val="center"/>
            <w:hideMark/>
          </w:tcPr>
          <w:p w14:paraId="770F63E6" w14:textId="77777777" w:rsidR="00585F8F" w:rsidRPr="00B969E5" w:rsidRDefault="00585F8F" w:rsidP="00585F8F">
            <w:pPr>
              <w:pStyle w:val="TableHeading"/>
              <w:jc w:val="center"/>
              <w:rPr>
                <w:color w:val="FFFFFF" w:themeColor="background1"/>
              </w:rPr>
            </w:pPr>
            <w:r w:rsidRPr="00B969E5">
              <w:t>Quarter</w:t>
            </w:r>
          </w:p>
          <w:p w14:paraId="2478780D" w14:textId="77777777" w:rsidR="00585F8F" w:rsidRDefault="00585F8F" w:rsidP="00585F8F">
            <w:pPr>
              <w:pStyle w:val="TableHeading"/>
              <w:jc w:val="center"/>
            </w:pPr>
            <w:r>
              <w:t>Price return</w:t>
            </w:r>
          </w:p>
          <w:p w14:paraId="64783AB3" w14:textId="3CA24A30" w:rsidR="00585F8F" w:rsidRPr="00B969E5" w:rsidRDefault="00585F8F" w:rsidP="00585F8F">
            <w:pPr>
              <w:pStyle w:val="TableHeading"/>
              <w:jc w:val="center"/>
            </w:pPr>
            <w:r w:rsidRPr="00B969E5">
              <w:t>(%)</w:t>
            </w:r>
          </w:p>
        </w:tc>
        <w:tc>
          <w:tcPr>
            <w:tcW w:w="467" w:type="pct"/>
            <w:vAlign w:val="center"/>
            <w:hideMark/>
          </w:tcPr>
          <w:p w14:paraId="0C32386D" w14:textId="77777777" w:rsidR="00585F8F" w:rsidRPr="00B969E5" w:rsidRDefault="00585F8F" w:rsidP="00585F8F">
            <w:pPr>
              <w:pStyle w:val="TableHeading"/>
              <w:jc w:val="center"/>
              <w:rPr>
                <w:color w:val="FFFFFF" w:themeColor="background1"/>
              </w:rPr>
            </w:pPr>
            <w:r w:rsidRPr="00B969E5">
              <w:t>Year ago,</w:t>
            </w:r>
          </w:p>
          <w:p w14:paraId="7370E24E" w14:textId="7DAB6B09" w:rsidR="00585F8F" w:rsidRPr="00B969E5" w:rsidRDefault="00585F8F" w:rsidP="00585F8F">
            <w:pPr>
              <w:pStyle w:val="TableHeading"/>
              <w:jc w:val="center"/>
            </w:pPr>
            <w:r w:rsidRPr="00B969E5">
              <w:t>close ($)</w:t>
            </w:r>
          </w:p>
        </w:tc>
        <w:tc>
          <w:tcPr>
            <w:tcW w:w="434" w:type="pct"/>
            <w:vAlign w:val="center"/>
            <w:hideMark/>
          </w:tcPr>
          <w:p w14:paraId="1ED0CF54" w14:textId="77777777" w:rsidR="00585F8F" w:rsidRPr="00B969E5" w:rsidRDefault="00585F8F" w:rsidP="00585F8F">
            <w:pPr>
              <w:pStyle w:val="TableHeading"/>
              <w:jc w:val="center"/>
              <w:rPr>
                <w:color w:val="FFFFFF" w:themeColor="background1"/>
              </w:rPr>
            </w:pPr>
            <w:r>
              <w:t>Annual Price Return</w:t>
            </w:r>
          </w:p>
          <w:p w14:paraId="4CA6BF26" w14:textId="4BAE83CF" w:rsidR="00585F8F" w:rsidRPr="00B969E5" w:rsidRDefault="00585F8F" w:rsidP="00585F8F">
            <w:pPr>
              <w:pStyle w:val="TableHeading"/>
              <w:jc w:val="center"/>
            </w:pPr>
            <w:r w:rsidRPr="00B969E5">
              <w:t>(%)</w:t>
            </w:r>
          </w:p>
        </w:tc>
      </w:tr>
      <w:tr w:rsidR="00F77277" w:rsidRPr="00B969E5" w14:paraId="228B4BF6" w14:textId="77777777" w:rsidTr="00F77277">
        <w:trPr>
          <w:trHeight w:val="281"/>
        </w:trPr>
        <w:tc>
          <w:tcPr>
            <w:tcW w:w="436" w:type="pct"/>
            <w:noWrap/>
            <w:vAlign w:val="center"/>
            <w:hideMark/>
          </w:tcPr>
          <w:p w14:paraId="20974E36" w14:textId="4A5D1DE7" w:rsidR="00F77277" w:rsidRPr="00B969E5" w:rsidRDefault="00F77277" w:rsidP="00F77277">
            <w:pPr>
              <w:pStyle w:val="TableText"/>
            </w:pPr>
            <w:r>
              <w:rPr>
                <w:rFonts w:ascii="Arial" w:hAnsi="Arial" w:cs="Arial"/>
                <w:szCs w:val="18"/>
              </w:rPr>
              <w:t>MSB</w:t>
            </w:r>
          </w:p>
        </w:tc>
        <w:tc>
          <w:tcPr>
            <w:tcW w:w="1231" w:type="pct"/>
            <w:noWrap/>
            <w:vAlign w:val="center"/>
            <w:hideMark/>
          </w:tcPr>
          <w:p w14:paraId="67A02BBB" w14:textId="4D969898" w:rsidR="00F77277" w:rsidRPr="00B969E5" w:rsidRDefault="00F77277" w:rsidP="00F77277">
            <w:pPr>
              <w:pStyle w:val="TableText"/>
            </w:pPr>
            <w:r>
              <w:rPr>
                <w:rFonts w:ascii="Arial" w:hAnsi="Arial" w:cs="Arial"/>
                <w:szCs w:val="18"/>
              </w:rPr>
              <w:t>Mesoblast Ltd</w:t>
            </w:r>
          </w:p>
        </w:tc>
        <w:tc>
          <w:tcPr>
            <w:tcW w:w="458" w:type="pct"/>
            <w:noWrap/>
            <w:vAlign w:val="center"/>
            <w:hideMark/>
          </w:tcPr>
          <w:p w14:paraId="06BA9508" w14:textId="4067BCA0" w:rsidR="00F77277" w:rsidRPr="00B969E5" w:rsidRDefault="00F77277" w:rsidP="00F77277">
            <w:pPr>
              <w:pStyle w:val="TableText"/>
            </w:pPr>
            <w:r>
              <w:rPr>
                <w:rFonts w:ascii="Arial" w:hAnsi="Arial" w:cs="Arial"/>
                <w:szCs w:val="18"/>
              </w:rPr>
              <w:t>3.06</w:t>
            </w:r>
          </w:p>
        </w:tc>
        <w:tc>
          <w:tcPr>
            <w:tcW w:w="490" w:type="pct"/>
            <w:noWrap/>
            <w:vAlign w:val="center"/>
            <w:hideMark/>
          </w:tcPr>
          <w:p w14:paraId="3EF3FD31" w14:textId="584BAD9C" w:rsidR="00F77277" w:rsidRPr="00B969E5" w:rsidRDefault="00F77277" w:rsidP="00F77277">
            <w:pPr>
              <w:pStyle w:val="TableText"/>
            </w:pPr>
            <w:r>
              <w:rPr>
                <w:rFonts w:ascii="Arial" w:hAnsi="Arial" w:cs="Arial"/>
                <w:szCs w:val="18"/>
              </w:rPr>
              <w:t>5.08</w:t>
            </w:r>
          </w:p>
        </w:tc>
        <w:tc>
          <w:tcPr>
            <w:tcW w:w="481" w:type="pct"/>
            <w:noWrap/>
            <w:vAlign w:val="center"/>
            <w:hideMark/>
          </w:tcPr>
          <w:p w14:paraId="31451DDD" w14:textId="2084722C" w:rsidR="00F77277" w:rsidRPr="00B969E5" w:rsidRDefault="00F77277" w:rsidP="00F77277">
            <w:pPr>
              <w:pStyle w:val="TableText"/>
            </w:pPr>
            <w:r>
              <w:rPr>
                <w:rFonts w:ascii="Arial" w:hAnsi="Arial" w:cs="Arial"/>
                <w:szCs w:val="18"/>
              </w:rPr>
              <w:t>-39.8</w:t>
            </w:r>
          </w:p>
        </w:tc>
        <w:tc>
          <w:tcPr>
            <w:tcW w:w="517" w:type="pct"/>
            <w:noWrap/>
            <w:vAlign w:val="center"/>
            <w:hideMark/>
          </w:tcPr>
          <w:p w14:paraId="439771B0" w14:textId="305E1405" w:rsidR="00F77277" w:rsidRPr="00B969E5" w:rsidRDefault="00F77277" w:rsidP="00F77277">
            <w:pPr>
              <w:pStyle w:val="TableText"/>
            </w:pPr>
            <w:r>
              <w:rPr>
                <w:rFonts w:ascii="Arial" w:hAnsi="Arial" w:cs="Arial"/>
                <w:szCs w:val="18"/>
              </w:rPr>
              <w:t>3.78</w:t>
            </w:r>
          </w:p>
        </w:tc>
        <w:tc>
          <w:tcPr>
            <w:tcW w:w="487" w:type="pct"/>
            <w:noWrap/>
            <w:vAlign w:val="center"/>
            <w:hideMark/>
          </w:tcPr>
          <w:p w14:paraId="23F154F1" w14:textId="49B13E47" w:rsidR="00F77277" w:rsidRPr="00B969E5" w:rsidRDefault="00F77277" w:rsidP="00F77277">
            <w:pPr>
              <w:pStyle w:val="TableText"/>
            </w:pPr>
            <w:r>
              <w:rPr>
                <w:rFonts w:ascii="Arial" w:hAnsi="Arial" w:cs="Arial"/>
                <w:szCs w:val="18"/>
              </w:rPr>
              <w:t>-19.0</w:t>
            </w:r>
          </w:p>
        </w:tc>
        <w:tc>
          <w:tcPr>
            <w:tcW w:w="467" w:type="pct"/>
            <w:noWrap/>
            <w:vAlign w:val="center"/>
            <w:hideMark/>
          </w:tcPr>
          <w:p w14:paraId="7C545985" w14:textId="6A029A50" w:rsidR="00F77277" w:rsidRPr="00B969E5" w:rsidRDefault="00F77277" w:rsidP="00F77277">
            <w:pPr>
              <w:pStyle w:val="TableText"/>
            </w:pPr>
            <w:r>
              <w:rPr>
                <w:rFonts w:ascii="Arial" w:hAnsi="Arial" w:cs="Arial"/>
                <w:szCs w:val="18"/>
              </w:rPr>
              <w:t>1.79</w:t>
            </w:r>
          </w:p>
        </w:tc>
        <w:tc>
          <w:tcPr>
            <w:tcW w:w="434" w:type="pct"/>
            <w:noWrap/>
            <w:vAlign w:val="center"/>
            <w:hideMark/>
          </w:tcPr>
          <w:p w14:paraId="4AFB3774" w14:textId="32D83F05" w:rsidR="00F77277" w:rsidRPr="00B969E5" w:rsidRDefault="00F77277" w:rsidP="00F77277">
            <w:pPr>
              <w:pStyle w:val="TableText"/>
            </w:pPr>
            <w:r>
              <w:rPr>
                <w:rFonts w:ascii="Arial" w:hAnsi="Arial" w:cs="Arial"/>
                <w:szCs w:val="18"/>
              </w:rPr>
              <w:t>71.4</w:t>
            </w:r>
          </w:p>
        </w:tc>
      </w:tr>
      <w:tr w:rsidR="00F77277" w:rsidRPr="00B969E5" w14:paraId="6E258CC7" w14:textId="77777777" w:rsidTr="00F77277">
        <w:trPr>
          <w:cnfStyle w:val="000000010000" w:firstRow="0" w:lastRow="0" w:firstColumn="0" w:lastColumn="0" w:oddVBand="0" w:evenVBand="0" w:oddHBand="0" w:evenHBand="1" w:firstRowFirstColumn="0" w:firstRowLastColumn="0" w:lastRowFirstColumn="0" w:lastRowLastColumn="0"/>
          <w:trHeight w:val="281"/>
        </w:trPr>
        <w:tc>
          <w:tcPr>
            <w:tcW w:w="436" w:type="pct"/>
            <w:noWrap/>
            <w:vAlign w:val="center"/>
            <w:hideMark/>
          </w:tcPr>
          <w:p w14:paraId="54EDE8A5" w14:textId="04AC3225" w:rsidR="00F77277" w:rsidRPr="00B969E5" w:rsidRDefault="00F77277" w:rsidP="00F77277">
            <w:pPr>
              <w:pStyle w:val="TableText"/>
            </w:pPr>
            <w:r>
              <w:rPr>
                <w:rFonts w:ascii="Arial" w:hAnsi="Arial" w:cs="Arial"/>
                <w:szCs w:val="18"/>
              </w:rPr>
              <w:t>FLT</w:t>
            </w:r>
          </w:p>
        </w:tc>
        <w:tc>
          <w:tcPr>
            <w:tcW w:w="1231" w:type="pct"/>
            <w:noWrap/>
            <w:vAlign w:val="center"/>
            <w:hideMark/>
          </w:tcPr>
          <w:p w14:paraId="4602D855" w14:textId="2119B4A0" w:rsidR="00F77277" w:rsidRPr="00B969E5" w:rsidRDefault="00F77277" w:rsidP="00F77277">
            <w:pPr>
              <w:pStyle w:val="TableText"/>
            </w:pPr>
            <w:r>
              <w:rPr>
                <w:rFonts w:ascii="Arial" w:hAnsi="Arial" w:cs="Arial"/>
                <w:szCs w:val="18"/>
              </w:rPr>
              <w:t>Flight Centre Travel Grp Ltd</w:t>
            </w:r>
          </w:p>
        </w:tc>
        <w:tc>
          <w:tcPr>
            <w:tcW w:w="458" w:type="pct"/>
            <w:noWrap/>
            <w:vAlign w:val="center"/>
            <w:hideMark/>
          </w:tcPr>
          <w:p w14:paraId="76321F46" w14:textId="466FFBF3" w:rsidR="00F77277" w:rsidRPr="00B969E5" w:rsidRDefault="00F77277" w:rsidP="00F77277">
            <w:pPr>
              <w:pStyle w:val="TableText"/>
            </w:pPr>
            <w:r>
              <w:rPr>
                <w:rFonts w:ascii="Arial" w:hAnsi="Arial" w:cs="Arial"/>
                <w:szCs w:val="18"/>
              </w:rPr>
              <w:t>11.26</w:t>
            </w:r>
          </w:p>
        </w:tc>
        <w:tc>
          <w:tcPr>
            <w:tcW w:w="490" w:type="pct"/>
            <w:noWrap/>
            <w:vAlign w:val="center"/>
            <w:hideMark/>
          </w:tcPr>
          <w:p w14:paraId="7BE6BDEE" w14:textId="0CB16768" w:rsidR="00F77277" w:rsidRPr="00B969E5" w:rsidRDefault="00F77277" w:rsidP="00F77277">
            <w:pPr>
              <w:pStyle w:val="TableText"/>
            </w:pPr>
            <w:r>
              <w:rPr>
                <w:rFonts w:ascii="Arial" w:hAnsi="Arial" w:cs="Arial"/>
                <w:szCs w:val="18"/>
              </w:rPr>
              <w:t>13.77</w:t>
            </w:r>
          </w:p>
        </w:tc>
        <w:tc>
          <w:tcPr>
            <w:tcW w:w="481" w:type="pct"/>
            <w:noWrap/>
            <w:vAlign w:val="center"/>
            <w:hideMark/>
          </w:tcPr>
          <w:p w14:paraId="5E115D41" w14:textId="73C11487" w:rsidR="00F77277" w:rsidRPr="00B969E5" w:rsidRDefault="00F77277" w:rsidP="00F77277">
            <w:pPr>
              <w:pStyle w:val="TableText"/>
            </w:pPr>
            <w:r>
              <w:rPr>
                <w:rFonts w:ascii="Arial" w:hAnsi="Arial" w:cs="Arial"/>
                <w:szCs w:val="18"/>
              </w:rPr>
              <w:t>-18.2</w:t>
            </w:r>
          </w:p>
        </w:tc>
        <w:tc>
          <w:tcPr>
            <w:tcW w:w="517" w:type="pct"/>
            <w:noWrap/>
            <w:vAlign w:val="center"/>
            <w:hideMark/>
          </w:tcPr>
          <w:p w14:paraId="5B3361F3" w14:textId="40303B15" w:rsidR="00F77277" w:rsidRPr="00B969E5" w:rsidRDefault="00F77277" w:rsidP="00F77277">
            <w:pPr>
              <w:pStyle w:val="TableText"/>
            </w:pPr>
            <w:r>
              <w:rPr>
                <w:rFonts w:ascii="Arial" w:hAnsi="Arial" w:cs="Arial"/>
                <w:szCs w:val="18"/>
              </w:rPr>
              <w:t>10.59</w:t>
            </w:r>
          </w:p>
        </w:tc>
        <w:tc>
          <w:tcPr>
            <w:tcW w:w="487" w:type="pct"/>
            <w:noWrap/>
            <w:vAlign w:val="center"/>
            <w:hideMark/>
          </w:tcPr>
          <w:p w14:paraId="5D419139" w14:textId="57DC5041" w:rsidR="00F77277" w:rsidRPr="00B969E5" w:rsidRDefault="00F77277" w:rsidP="00F77277">
            <w:pPr>
              <w:pStyle w:val="TableText"/>
            </w:pPr>
            <w:r>
              <w:rPr>
                <w:rFonts w:ascii="Arial" w:hAnsi="Arial" w:cs="Arial"/>
                <w:szCs w:val="18"/>
              </w:rPr>
              <w:t>6.3</w:t>
            </w:r>
          </w:p>
        </w:tc>
        <w:tc>
          <w:tcPr>
            <w:tcW w:w="467" w:type="pct"/>
            <w:noWrap/>
            <w:vAlign w:val="center"/>
            <w:hideMark/>
          </w:tcPr>
          <w:p w14:paraId="376D31C4" w14:textId="20EA31C1" w:rsidR="00F77277" w:rsidRPr="00B969E5" w:rsidRDefault="00F77277" w:rsidP="00F77277">
            <w:pPr>
              <w:pStyle w:val="TableText"/>
            </w:pPr>
            <w:r>
              <w:rPr>
                <w:rFonts w:ascii="Arial" w:hAnsi="Arial" w:cs="Arial"/>
                <w:szCs w:val="18"/>
              </w:rPr>
              <w:t>38.34</w:t>
            </w:r>
          </w:p>
        </w:tc>
        <w:tc>
          <w:tcPr>
            <w:tcW w:w="434" w:type="pct"/>
            <w:noWrap/>
            <w:vAlign w:val="center"/>
            <w:hideMark/>
          </w:tcPr>
          <w:p w14:paraId="731B01EB" w14:textId="74B5C558" w:rsidR="00F77277" w:rsidRPr="00B969E5" w:rsidRDefault="00F77277" w:rsidP="00F77277">
            <w:pPr>
              <w:pStyle w:val="TableText"/>
            </w:pPr>
            <w:r>
              <w:rPr>
                <w:rFonts w:ascii="Arial" w:hAnsi="Arial" w:cs="Arial"/>
                <w:szCs w:val="18"/>
              </w:rPr>
              <w:t>-70.6</w:t>
            </w:r>
          </w:p>
        </w:tc>
      </w:tr>
      <w:tr w:rsidR="00F77277" w:rsidRPr="00B969E5" w14:paraId="47E2CE13" w14:textId="77777777" w:rsidTr="00F77277">
        <w:trPr>
          <w:trHeight w:val="281"/>
        </w:trPr>
        <w:tc>
          <w:tcPr>
            <w:tcW w:w="436" w:type="pct"/>
            <w:noWrap/>
            <w:vAlign w:val="center"/>
            <w:hideMark/>
          </w:tcPr>
          <w:p w14:paraId="3196AA9A" w14:textId="233390F3" w:rsidR="00F77277" w:rsidRPr="00B969E5" w:rsidRDefault="00F77277" w:rsidP="00F77277">
            <w:pPr>
              <w:pStyle w:val="TableText"/>
            </w:pPr>
            <w:r>
              <w:rPr>
                <w:rFonts w:ascii="Arial" w:hAnsi="Arial" w:cs="Arial"/>
                <w:szCs w:val="18"/>
              </w:rPr>
              <w:t>ASB</w:t>
            </w:r>
          </w:p>
        </w:tc>
        <w:tc>
          <w:tcPr>
            <w:tcW w:w="1231" w:type="pct"/>
            <w:noWrap/>
            <w:vAlign w:val="center"/>
            <w:hideMark/>
          </w:tcPr>
          <w:p w14:paraId="7C1B969B" w14:textId="6BC7CF06" w:rsidR="00F77277" w:rsidRPr="00B969E5" w:rsidRDefault="00F77277" w:rsidP="00F77277">
            <w:pPr>
              <w:pStyle w:val="TableText"/>
            </w:pPr>
            <w:r>
              <w:rPr>
                <w:rFonts w:ascii="Arial" w:hAnsi="Arial" w:cs="Arial"/>
                <w:szCs w:val="18"/>
              </w:rPr>
              <w:t>Austal Ltd</w:t>
            </w:r>
          </w:p>
        </w:tc>
        <w:tc>
          <w:tcPr>
            <w:tcW w:w="458" w:type="pct"/>
            <w:noWrap/>
            <w:vAlign w:val="center"/>
            <w:hideMark/>
          </w:tcPr>
          <w:p w14:paraId="496DAF25" w14:textId="115FF49D" w:rsidR="00F77277" w:rsidRPr="00B969E5" w:rsidRDefault="00F77277" w:rsidP="00F77277">
            <w:pPr>
              <w:pStyle w:val="TableText"/>
            </w:pPr>
            <w:r>
              <w:rPr>
                <w:rFonts w:ascii="Arial" w:hAnsi="Arial" w:cs="Arial"/>
                <w:szCs w:val="18"/>
              </w:rPr>
              <w:t>2.71</w:t>
            </w:r>
          </w:p>
        </w:tc>
        <w:tc>
          <w:tcPr>
            <w:tcW w:w="490" w:type="pct"/>
            <w:noWrap/>
            <w:vAlign w:val="center"/>
            <w:hideMark/>
          </w:tcPr>
          <w:p w14:paraId="0FE4FB95" w14:textId="612644D4" w:rsidR="00F77277" w:rsidRPr="00B969E5" w:rsidRDefault="00F77277" w:rsidP="00F77277">
            <w:pPr>
              <w:pStyle w:val="TableText"/>
            </w:pPr>
            <w:r>
              <w:rPr>
                <w:rFonts w:ascii="Arial" w:hAnsi="Arial" w:cs="Arial"/>
                <w:szCs w:val="18"/>
              </w:rPr>
              <w:t>3.28</w:t>
            </w:r>
          </w:p>
        </w:tc>
        <w:tc>
          <w:tcPr>
            <w:tcW w:w="481" w:type="pct"/>
            <w:noWrap/>
            <w:vAlign w:val="center"/>
            <w:hideMark/>
          </w:tcPr>
          <w:p w14:paraId="5E942E23" w14:textId="5D2D6C32" w:rsidR="00F77277" w:rsidRPr="00B969E5" w:rsidRDefault="00F77277" w:rsidP="00F77277">
            <w:pPr>
              <w:pStyle w:val="TableText"/>
            </w:pPr>
            <w:r>
              <w:rPr>
                <w:rFonts w:ascii="Arial" w:hAnsi="Arial" w:cs="Arial"/>
                <w:szCs w:val="18"/>
              </w:rPr>
              <w:t>-17.4</w:t>
            </w:r>
          </w:p>
        </w:tc>
        <w:tc>
          <w:tcPr>
            <w:tcW w:w="517" w:type="pct"/>
            <w:noWrap/>
            <w:vAlign w:val="center"/>
            <w:hideMark/>
          </w:tcPr>
          <w:p w14:paraId="75BAD897" w14:textId="3CA47380" w:rsidR="00F77277" w:rsidRPr="00B969E5" w:rsidRDefault="00F77277" w:rsidP="00F77277">
            <w:pPr>
              <w:pStyle w:val="TableText"/>
            </w:pPr>
            <w:r>
              <w:rPr>
                <w:rFonts w:ascii="Arial" w:hAnsi="Arial" w:cs="Arial"/>
                <w:szCs w:val="18"/>
              </w:rPr>
              <w:t>3.30</w:t>
            </w:r>
          </w:p>
        </w:tc>
        <w:tc>
          <w:tcPr>
            <w:tcW w:w="487" w:type="pct"/>
            <w:noWrap/>
            <w:vAlign w:val="center"/>
            <w:hideMark/>
          </w:tcPr>
          <w:p w14:paraId="1C141DEE" w14:textId="095C9502" w:rsidR="00F77277" w:rsidRPr="00B969E5" w:rsidRDefault="00F77277" w:rsidP="00F77277">
            <w:pPr>
              <w:pStyle w:val="TableText"/>
            </w:pPr>
            <w:r>
              <w:rPr>
                <w:rFonts w:ascii="Arial" w:hAnsi="Arial" w:cs="Arial"/>
                <w:szCs w:val="18"/>
              </w:rPr>
              <w:t>-17.9</w:t>
            </w:r>
          </w:p>
        </w:tc>
        <w:tc>
          <w:tcPr>
            <w:tcW w:w="467" w:type="pct"/>
            <w:noWrap/>
            <w:vAlign w:val="center"/>
            <w:hideMark/>
          </w:tcPr>
          <w:p w14:paraId="4ACCFDB7" w14:textId="390CF5C2" w:rsidR="00F77277" w:rsidRPr="00B969E5" w:rsidRDefault="00F77277" w:rsidP="00F77277">
            <w:pPr>
              <w:pStyle w:val="TableText"/>
            </w:pPr>
            <w:r>
              <w:rPr>
                <w:rFonts w:ascii="Arial" w:hAnsi="Arial" w:cs="Arial"/>
                <w:szCs w:val="18"/>
              </w:rPr>
              <w:t>4.18</w:t>
            </w:r>
          </w:p>
        </w:tc>
        <w:tc>
          <w:tcPr>
            <w:tcW w:w="434" w:type="pct"/>
            <w:noWrap/>
            <w:vAlign w:val="center"/>
            <w:hideMark/>
          </w:tcPr>
          <w:p w14:paraId="352E2F8C" w14:textId="55FF3569" w:rsidR="00F77277" w:rsidRPr="00B969E5" w:rsidRDefault="00F77277" w:rsidP="00F77277">
            <w:pPr>
              <w:pStyle w:val="TableText"/>
            </w:pPr>
            <w:r>
              <w:rPr>
                <w:rFonts w:ascii="Arial" w:hAnsi="Arial" w:cs="Arial"/>
                <w:szCs w:val="18"/>
              </w:rPr>
              <w:t>-35.2</w:t>
            </w:r>
          </w:p>
        </w:tc>
      </w:tr>
      <w:tr w:rsidR="00F77277" w:rsidRPr="00B969E5" w14:paraId="2BBE56CE" w14:textId="77777777" w:rsidTr="00F77277">
        <w:trPr>
          <w:cnfStyle w:val="000000010000" w:firstRow="0" w:lastRow="0" w:firstColumn="0" w:lastColumn="0" w:oddVBand="0" w:evenVBand="0" w:oddHBand="0" w:evenHBand="1" w:firstRowFirstColumn="0" w:firstRowLastColumn="0" w:lastRowFirstColumn="0" w:lastRowLastColumn="0"/>
          <w:trHeight w:val="281"/>
        </w:trPr>
        <w:tc>
          <w:tcPr>
            <w:tcW w:w="436" w:type="pct"/>
            <w:noWrap/>
            <w:vAlign w:val="center"/>
            <w:hideMark/>
          </w:tcPr>
          <w:p w14:paraId="63087BED" w14:textId="30E8E88B" w:rsidR="00F77277" w:rsidRPr="00B969E5" w:rsidRDefault="00F77277" w:rsidP="00F77277">
            <w:pPr>
              <w:pStyle w:val="TableText"/>
            </w:pPr>
            <w:r>
              <w:rPr>
                <w:rFonts w:ascii="Arial" w:hAnsi="Arial" w:cs="Arial"/>
                <w:szCs w:val="18"/>
              </w:rPr>
              <w:t>RRL</w:t>
            </w:r>
          </w:p>
        </w:tc>
        <w:tc>
          <w:tcPr>
            <w:tcW w:w="1231" w:type="pct"/>
            <w:noWrap/>
            <w:vAlign w:val="center"/>
            <w:hideMark/>
          </w:tcPr>
          <w:p w14:paraId="578728CF" w14:textId="65A9B16F" w:rsidR="00F77277" w:rsidRPr="00B969E5" w:rsidRDefault="00F77277" w:rsidP="00F77277">
            <w:pPr>
              <w:pStyle w:val="TableText"/>
            </w:pPr>
            <w:r>
              <w:rPr>
                <w:rFonts w:ascii="Arial" w:hAnsi="Arial" w:cs="Arial"/>
                <w:szCs w:val="18"/>
              </w:rPr>
              <w:t>Regis Resources Ltd</w:t>
            </w:r>
          </w:p>
        </w:tc>
        <w:tc>
          <w:tcPr>
            <w:tcW w:w="458" w:type="pct"/>
            <w:noWrap/>
            <w:vAlign w:val="center"/>
            <w:hideMark/>
          </w:tcPr>
          <w:p w14:paraId="773574BF" w14:textId="00140B2C" w:rsidR="00F77277" w:rsidRPr="00B969E5" w:rsidRDefault="00F77277" w:rsidP="00F77277">
            <w:pPr>
              <w:pStyle w:val="TableText"/>
            </w:pPr>
            <w:r>
              <w:rPr>
                <w:rFonts w:ascii="Arial" w:hAnsi="Arial" w:cs="Arial"/>
                <w:szCs w:val="18"/>
              </w:rPr>
              <w:t>4.15</w:t>
            </w:r>
          </w:p>
        </w:tc>
        <w:tc>
          <w:tcPr>
            <w:tcW w:w="490" w:type="pct"/>
            <w:noWrap/>
            <w:vAlign w:val="center"/>
            <w:hideMark/>
          </w:tcPr>
          <w:p w14:paraId="58CCC4A3" w14:textId="5F971D1B" w:rsidR="00F77277" w:rsidRPr="00B969E5" w:rsidRDefault="00F77277" w:rsidP="00F77277">
            <w:pPr>
              <w:pStyle w:val="TableText"/>
            </w:pPr>
            <w:r>
              <w:rPr>
                <w:rFonts w:ascii="Arial" w:hAnsi="Arial" w:cs="Arial"/>
                <w:szCs w:val="18"/>
              </w:rPr>
              <w:t>5.01</w:t>
            </w:r>
          </w:p>
        </w:tc>
        <w:tc>
          <w:tcPr>
            <w:tcW w:w="481" w:type="pct"/>
            <w:noWrap/>
            <w:vAlign w:val="center"/>
            <w:hideMark/>
          </w:tcPr>
          <w:p w14:paraId="42A087CB" w14:textId="381E30E2" w:rsidR="00F77277" w:rsidRPr="00B969E5" w:rsidRDefault="00F77277" w:rsidP="00F77277">
            <w:pPr>
              <w:pStyle w:val="TableText"/>
            </w:pPr>
            <w:r>
              <w:rPr>
                <w:rFonts w:ascii="Arial" w:hAnsi="Arial" w:cs="Arial"/>
                <w:szCs w:val="18"/>
              </w:rPr>
              <w:t>-17.2</w:t>
            </w:r>
          </w:p>
        </w:tc>
        <w:tc>
          <w:tcPr>
            <w:tcW w:w="517" w:type="pct"/>
            <w:noWrap/>
            <w:vAlign w:val="center"/>
            <w:hideMark/>
          </w:tcPr>
          <w:p w14:paraId="238643C6" w14:textId="14C48B39" w:rsidR="00F77277" w:rsidRPr="00B969E5" w:rsidRDefault="00F77277" w:rsidP="00F77277">
            <w:pPr>
              <w:pStyle w:val="TableText"/>
            </w:pPr>
            <w:r>
              <w:rPr>
                <w:rFonts w:ascii="Arial" w:hAnsi="Arial" w:cs="Arial"/>
                <w:szCs w:val="18"/>
              </w:rPr>
              <w:t>5.63</w:t>
            </w:r>
          </w:p>
        </w:tc>
        <w:tc>
          <w:tcPr>
            <w:tcW w:w="487" w:type="pct"/>
            <w:noWrap/>
            <w:vAlign w:val="center"/>
            <w:hideMark/>
          </w:tcPr>
          <w:p w14:paraId="70E2D247" w14:textId="39FD6292" w:rsidR="00F77277" w:rsidRPr="00B969E5" w:rsidRDefault="00F77277" w:rsidP="00F77277">
            <w:pPr>
              <w:pStyle w:val="TableText"/>
            </w:pPr>
            <w:r>
              <w:rPr>
                <w:rFonts w:ascii="Arial" w:hAnsi="Arial" w:cs="Arial"/>
                <w:szCs w:val="18"/>
              </w:rPr>
              <w:t>-26.3</w:t>
            </w:r>
          </w:p>
        </w:tc>
        <w:tc>
          <w:tcPr>
            <w:tcW w:w="467" w:type="pct"/>
            <w:noWrap/>
            <w:vAlign w:val="center"/>
            <w:hideMark/>
          </w:tcPr>
          <w:p w14:paraId="48A9D558" w14:textId="5460DCAB" w:rsidR="00F77277" w:rsidRPr="00B969E5" w:rsidRDefault="00F77277" w:rsidP="00F77277">
            <w:pPr>
              <w:pStyle w:val="TableText"/>
            </w:pPr>
            <w:r>
              <w:rPr>
                <w:rFonts w:ascii="Arial" w:hAnsi="Arial" w:cs="Arial"/>
                <w:szCs w:val="18"/>
              </w:rPr>
              <w:t>4.90</w:t>
            </w:r>
          </w:p>
        </w:tc>
        <w:tc>
          <w:tcPr>
            <w:tcW w:w="434" w:type="pct"/>
            <w:noWrap/>
            <w:vAlign w:val="center"/>
            <w:hideMark/>
          </w:tcPr>
          <w:p w14:paraId="366A6C02" w14:textId="186BB412" w:rsidR="00F77277" w:rsidRPr="00B969E5" w:rsidRDefault="00F77277" w:rsidP="00F77277">
            <w:pPr>
              <w:pStyle w:val="TableText"/>
            </w:pPr>
            <w:r>
              <w:rPr>
                <w:rFonts w:ascii="Arial" w:hAnsi="Arial" w:cs="Arial"/>
                <w:szCs w:val="18"/>
              </w:rPr>
              <w:t>-15.3</w:t>
            </w:r>
          </w:p>
        </w:tc>
      </w:tr>
      <w:tr w:rsidR="00F77277" w:rsidRPr="00B969E5" w14:paraId="6B5EC868" w14:textId="77777777" w:rsidTr="00F77277">
        <w:trPr>
          <w:trHeight w:val="281"/>
        </w:trPr>
        <w:tc>
          <w:tcPr>
            <w:tcW w:w="436" w:type="pct"/>
            <w:noWrap/>
            <w:vAlign w:val="center"/>
            <w:hideMark/>
          </w:tcPr>
          <w:p w14:paraId="4014DAA7" w14:textId="37E9EE59" w:rsidR="00F77277" w:rsidRPr="00B969E5" w:rsidRDefault="00F77277" w:rsidP="00F77277">
            <w:pPr>
              <w:pStyle w:val="TableText"/>
            </w:pPr>
            <w:r>
              <w:rPr>
                <w:rFonts w:ascii="Arial" w:hAnsi="Arial" w:cs="Arial"/>
                <w:szCs w:val="18"/>
              </w:rPr>
              <w:t>MP1</w:t>
            </w:r>
          </w:p>
        </w:tc>
        <w:tc>
          <w:tcPr>
            <w:tcW w:w="1231" w:type="pct"/>
            <w:noWrap/>
            <w:vAlign w:val="center"/>
            <w:hideMark/>
          </w:tcPr>
          <w:p w14:paraId="7B150CE2" w14:textId="00C5DDF1" w:rsidR="00F77277" w:rsidRPr="00B969E5" w:rsidRDefault="00F77277" w:rsidP="00F77277">
            <w:pPr>
              <w:pStyle w:val="TableText"/>
            </w:pPr>
            <w:r>
              <w:rPr>
                <w:rFonts w:ascii="Arial" w:hAnsi="Arial" w:cs="Arial"/>
                <w:szCs w:val="18"/>
              </w:rPr>
              <w:t>Megaport Ltd</w:t>
            </w:r>
          </w:p>
        </w:tc>
        <w:tc>
          <w:tcPr>
            <w:tcW w:w="458" w:type="pct"/>
            <w:noWrap/>
            <w:vAlign w:val="center"/>
            <w:hideMark/>
          </w:tcPr>
          <w:p w14:paraId="719C4098" w14:textId="4C171E71" w:rsidR="00F77277" w:rsidRPr="00B969E5" w:rsidRDefault="00F77277" w:rsidP="00F77277">
            <w:pPr>
              <w:pStyle w:val="TableText"/>
            </w:pPr>
            <w:r>
              <w:rPr>
                <w:rFonts w:ascii="Arial" w:hAnsi="Arial" w:cs="Arial"/>
                <w:szCs w:val="18"/>
              </w:rPr>
              <w:t>13.47</w:t>
            </w:r>
          </w:p>
        </w:tc>
        <w:tc>
          <w:tcPr>
            <w:tcW w:w="490" w:type="pct"/>
            <w:noWrap/>
            <w:vAlign w:val="center"/>
            <w:hideMark/>
          </w:tcPr>
          <w:p w14:paraId="12670939" w14:textId="12958BA6" w:rsidR="00F77277" w:rsidRPr="00B969E5" w:rsidRDefault="00F77277" w:rsidP="00F77277">
            <w:pPr>
              <w:pStyle w:val="TableText"/>
            </w:pPr>
            <w:r>
              <w:rPr>
                <w:rFonts w:ascii="Arial" w:hAnsi="Arial" w:cs="Arial"/>
                <w:szCs w:val="18"/>
              </w:rPr>
              <w:t>16.09</w:t>
            </w:r>
          </w:p>
        </w:tc>
        <w:tc>
          <w:tcPr>
            <w:tcW w:w="481" w:type="pct"/>
            <w:noWrap/>
            <w:vAlign w:val="center"/>
            <w:hideMark/>
          </w:tcPr>
          <w:p w14:paraId="15D988E1" w14:textId="415E60CD" w:rsidR="00F77277" w:rsidRPr="00B969E5" w:rsidRDefault="00F77277" w:rsidP="00F77277">
            <w:pPr>
              <w:pStyle w:val="TableText"/>
            </w:pPr>
            <w:r>
              <w:rPr>
                <w:rFonts w:ascii="Arial" w:hAnsi="Arial" w:cs="Arial"/>
                <w:szCs w:val="18"/>
              </w:rPr>
              <w:t>-16.3</w:t>
            </w:r>
          </w:p>
        </w:tc>
        <w:tc>
          <w:tcPr>
            <w:tcW w:w="517" w:type="pct"/>
            <w:noWrap/>
            <w:vAlign w:val="center"/>
            <w:hideMark/>
          </w:tcPr>
          <w:p w14:paraId="5564E9EB" w14:textId="103C2821" w:rsidR="00F77277" w:rsidRPr="00B969E5" w:rsidRDefault="00F77277" w:rsidP="00F77277">
            <w:pPr>
              <w:pStyle w:val="TableText"/>
            </w:pPr>
            <w:r>
              <w:rPr>
                <w:rFonts w:ascii="Arial" w:hAnsi="Arial" w:cs="Arial"/>
                <w:szCs w:val="18"/>
              </w:rPr>
              <w:t>13.15</w:t>
            </w:r>
          </w:p>
        </w:tc>
        <w:tc>
          <w:tcPr>
            <w:tcW w:w="487" w:type="pct"/>
            <w:noWrap/>
            <w:vAlign w:val="center"/>
            <w:hideMark/>
          </w:tcPr>
          <w:p w14:paraId="1B6EAF78" w14:textId="0E78AF09" w:rsidR="00F77277" w:rsidRPr="00B969E5" w:rsidRDefault="00F77277" w:rsidP="00F77277">
            <w:pPr>
              <w:pStyle w:val="TableText"/>
            </w:pPr>
            <w:r>
              <w:rPr>
                <w:rFonts w:ascii="Arial" w:hAnsi="Arial" w:cs="Arial"/>
                <w:szCs w:val="18"/>
              </w:rPr>
              <w:t>2.4</w:t>
            </w:r>
          </w:p>
        </w:tc>
        <w:tc>
          <w:tcPr>
            <w:tcW w:w="467" w:type="pct"/>
            <w:noWrap/>
            <w:vAlign w:val="center"/>
            <w:hideMark/>
          </w:tcPr>
          <w:p w14:paraId="004E52EF" w14:textId="0F364F13" w:rsidR="00F77277" w:rsidRPr="00B969E5" w:rsidRDefault="00F77277" w:rsidP="00F77277">
            <w:pPr>
              <w:pStyle w:val="TableText"/>
            </w:pPr>
            <w:r>
              <w:rPr>
                <w:rFonts w:ascii="Arial" w:hAnsi="Arial" w:cs="Arial"/>
                <w:szCs w:val="18"/>
              </w:rPr>
              <w:t>9.28</w:t>
            </w:r>
          </w:p>
        </w:tc>
        <w:tc>
          <w:tcPr>
            <w:tcW w:w="434" w:type="pct"/>
            <w:noWrap/>
            <w:vAlign w:val="center"/>
            <w:hideMark/>
          </w:tcPr>
          <w:p w14:paraId="57D0411D" w14:textId="3B072C53" w:rsidR="00F77277" w:rsidRPr="00B969E5" w:rsidRDefault="00F77277" w:rsidP="00F77277">
            <w:pPr>
              <w:pStyle w:val="TableText"/>
            </w:pPr>
            <w:r>
              <w:rPr>
                <w:rFonts w:ascii="Arial" w:hAnsi="Arial" w:cs="Arial"/>
                <w:szCs w:val="18"/>
              </w:rPr>
              <w:t>45.2</w:t>
            </w:r>
          </w:p>
        </w:tc>
      </w:tr>
      <w:tr w:rsidR="00F77277" w:rsidRPr="00B969E5" w14:paraId="2E53A7A0" w14:textId="77777777" w:rsidTr="00F77277">
        <w:trPr>
          <w:cnfStyle w:val="000000010000" w:firstRow="0" w:lastRow="0" w:firstColumn="0" w:lastColumn="0" w:oddVBand="0" w:evenVBand="0" w:oddHBand="0" w:evenHBand="1" w:firstRowFirstColumn="0" w:firstRowLastColumn="0" w:lastRowFirstColumn="0" w:lastRowLastColumn="0"/>
          <w:trHeight w:val="281"/>
        </w:trPr>
        <w:tc>
          <w:tcPr>
            <w:tcW w:w="436" w:type="pct"/>
            <w:noWrap/>
            <w:vAlign w:val="center"/>
            <w:hideMark/>
          </w:tcPr>
          <w:p w14:paraId="2E3B21F6" w14:textId="28C3DC13" w:rsidR="00F77277" w:rsidRPr="00B969E5" w:rsidRDefault="00F77277" w:rsidP="00F77277">
            <w:pPr>
              <w:pStyle w:val="TableText"/>
            </w:pPr>
            <w:r>
              <w:rPr>
                <w:rFonts w:ascii="Arial" w:hAnsi="Arial" w:cs="Arial"/>
                <w:szCs w:val="18"/>
              </w:rPr>
              <w:t>CTD</w:t>
            </w:r>
          </w:p>
        </w:tc>
        <w:tc>
          <w:tcPr>
            <w:tcW w:w="1231" w:type="pct"/>
            <w:noWrap/>
            <w:vAlign w:val="center"/>
            <w:hideMark/>
          </w:tcPr>
          <w:p w14:paraId="2D92AEAA" w14:textId="7E976914" w:rsidR="00F77277" w:rsidRPr="00B969E5" w:rsidRDefault="00F77277" w:rsidP="00F77277">
            <w:pPr>
              <w:pStyle w:val="TableText"/>
            </w:pPr>
            <w:r>
              <w:rPr>
                <w:rFonts w:ascii="Arial" w:hAnsi="Arial" w:cs="Arial"/>
                <w:szCs w:val="18"/>
              </w:rPr>
              <w:t>Corporate Travel Management</w:t>
            </w:r>
          </w:p>
        </w:tc>
        <w:tc>
          <w:tcPr>
            <w:tcW w:w="458" w:type="pct"/>
            <w:noWrap/>
            <w:vAlign w:val="center"/>
            <w:hideMark/>
          </w:tcPr>
          <w:p w14:paraId="6F43707E" w14:textId="5331ECB8" w:rsidR="00F77277" w:rsidRPr="00B969E5" w:rsidRDefault="00F77277" w:rsidP="00F77277">
            <w:pPr>
              <w:pStyle w:val="TableText"/>
            </w:pPr>
            <w:r>
              <w:rPr>
                <w:rFonts w:ascii="Arial" w:hAnsi="Arial" w:cs="Arial"/>
                <w:szCs w:val="18"/>
              </w:rPr>
              <w:t>14.60</w:t>
            </w:r>
          </w:p>
        </w:tc>
        <w:tc>
          <w:tcPr>
            <w:tcW w:w="490" w:type="pct"/>
            <w:noWrap/>
            <w:vAlign w:val="center"/>
            <w:hideMark/>
          </w:tcPr>
          <w:p w14:paraId="093F8F95" w14:textId="3DE189FE" w:rsidR="00F77277" w:rsidRPr="00B969E5" w:rsidRDefault="00F77277" w:rsidP="00F77277">
            <w:pPr>
              <w:pStyle w:val="TableText"/>
            </w:pPr>
            <w:r>
              <w:rPr>
                <w:rFonts w:ascii="Arial" w:hAnsi="Arial" w:cs="Arial"/>
                <w:szCs w:val="18"/>
              </w:rPr>
              <w:t>17.23</w:t>
            </w:r>
          </w:p>
        </w:tc>
        <w:tc>
          <w:tcPr>
            <w:tcW w:w="481" w:type="pct"/>
            <w:noWrap/>
            <w:vAlign w:val="center"/>
            <w:hideMark/>
          </w:tcPr>
          <w:p w14:paraId="6673F9B4" w14:textId="58EAAFB3" w:rsidR="00F77277" w:rsidRPr="00B969E5" w:rsidRDefault="00F77277" w:rsidP="00F77277">
            <w:pPr>
              <w:pStyle w:val="TableText"/>
            </w:pPr>
            <w:r>
              <w:rPr>
                <w:rFonts w:ascii="Arial" w:hAnsi="Arial" w:cs="Arial"/>
                <w:szCs w:val="18"/>
              </w:rPr>
              <w:t>-15.3</w:t>
            </w:r>
          </w:p>
        </w:tc>
        <w:tc>
          <w:tcPr>
            <w:tcW w:w="517" w:type="pct"/>
            <w:noWrap/>
            <w:vAlign w:val="center"/>
            <w:hideMark/>
          </w:tcPr>
          <w:p w14:paraId="0A3F5F89" w14:textId="0298822D" w:rsidR="00F77277" w:rsidRPr="00B969E5" w:rsidRDefault="00F77277" w:rsidP="00F77277">
            <w:pPr>
              <w:pStyle w:val="TableText"/>
            </w:pPr>
            <w:r>
              <w:rPr>
                <w:rFonts w:ascii="Arial" w:hAnsi="Arial" w:cs="Arial"/>
                <w:szCs w:val="18"/>
              </w:rPr>
              <w:t>8.48</w:t>
            </w:r>
          </w:p>
        </w:tc>
        <w:tc>
          <w:tcPr>
            <w:tcW w:w="487" w:type="pct"/>
            <w:noWrap/>
            <w:vAlign w:val="center"/>
            <w:hideMark/>
          </w:tcPr>
          <w:p w14:paraId="3C40C8E3" w14:textId="7258FF3B" w:rsidR="00F77277" w:rsidRPr="00B969E5" w:rsidRDefault="00F77277" w:rsidP="00F77277">
            <w:pPr>
              <w:pStyle w:val="TableText"/>
            </w:pPr>
            <w:r>
              <w:rPr>
                <w:rFonts w:ascii="Arial" w:hAnsi="Arial" w:cs="Arial"/>
                <w:szCs w:val="18"/>
              </w:rPr>
              <w:t>72.2</w:t>
            </w:r>
          </w:p>
        </w:tc>
        <w:tc>
          <w:tcPr>
            <w:tcW w:w="467" w:type="pct"/>
            <w:noWrap/>
            <w:vAlign w:val="center"/>
            <w:hideMark/>
          </w:tcPr>
          <w:p w14:paraId="1C677632" w14:textId="6BFC5E27" w:rsidR="00F77277" w:rsidRPr="00B969E5" w:rsidRDefault="00F77277" w:rsidP="00F77277">
            <w:pPr>
              <w:pStyle w:val="TableText"/>
            </w:pPr>
            <w:r>
              <w:rPr>
                <w:rFonts w:ascii="Arial" w:hAnsi="Arial" w:cs="Arial"/>
                <w:szCs w:val="18"/>
              </w:rPr>
              <w:t>17.13</w:t>
            </w:r>
          </w:p>
        </w:tc>
        <w:tc>
          <w:tcPr>
            <w:tcW w:w="434" w:type="pct"/>
            <w:noWrap/>
            <w:vAlign w:val="center"/>
            <w:hideMark/>
          </w:tcPr>
          <w:p w14:paraId="482E2BD0" w14:textId="748A6DFD" w:rsidR="00F77277" w:rsidRPr="00B969E5" w:rsidRDefault="00F77277" w:rsidP="00F77277">
            <w:pPr>
              <w:pStyle w:val="TableText"/>
            </w:pPr>
            <w:r>
              <w:rPr>
                <w:rFonts w:ascii="Arial" w:hAnsi="Arial" w:cs="Arial"/>
                <w:szCs w:val="18"/>
              </w:rPr>
              <w:t>-14.7</w:t>
            </w:r>
          </w:p>
        </w:tc>
      </w:tr>
      <w:tr w:rsidR="00F77277" w:rsidRPr="00B969E5" w14:paraId="2693F729" w14:textId="77777777" w:rsidTr="00F77277">
        <w:trPr>
          <w:trHeight w:val="281"/>
        </w:trPr>
        <w:tc>
          <w:tcPr>
            <w:tcW w:w="436" w:type="pct"/>
            <w:noWrap/>
            <w:vAlign w:val="center"/>
            <w:hideMark/>
          </w:tcPr>
          <w:p w14:paraId="5A526F87" w14:textId="117D60F9" w:rsidR="00F77277" w:rsidRPr="00B969E5" w:rsidRDefault="00F77277" w:rsidP="00F77277">
            <w:pPr>
              <w:pStyle w:val="TableText"/>
            </w:pPr>
            <w:r>
              <w:rPr>
                <w:rFonts w:ascii="Arial" w:hAnsi="Arial" w:cs="Arial"/>
                <w:szCs w:val="18"/>
              </w:rPr>
              <w:t>AVH</w:t>
            </w:r>
          </w:p>
        </w:tc>
        <w:tc>
          <w:tcPr>
            <w:tcW w:w="1231" w:type="pct"/>
            <w:noWrap/>
            <w:vAlign w:val="center"/>
            <w:hideMark/>
          </w:tcPr>
          <w:p w14:paraId="278D760C" w14:textId="03631AB2" w:rsidR="00F77277" w:rsidRPr="00B969E5" w:rsidRDefault="00F77277" w:rsidP="00F77277">
            <w:pPr>
              <w:pStyle w:val="TableText"/>
            </w:pPr>
            <w:r>
              <w:rPr>
                <w:rFonts w:ascii="Arial" w:hAnsi="Arial" w:cs="Arial"/>
                <w:szCs w:val="18"/>
              </w:rPr>
              <w:t>Avita Therapeutics Inc CDI</w:t>
            </w:r>
          </w:p>
        </w:tc>
        <w:tc>
          <w:tcPr>
            <w:tcW w:w="458" w:type="pct"/>
            <w:noWrap/>
            <w:vAlign w:val="center"/>
            <w:hideMark/>
          </w:tcPr>
          <w:p w14:paraId="78F66254" w14:textId="50F76A83" w:rsidR="00F77277" w:rsidRPr="00B969E5" w:rsidRDefault="00F77277" w:rsidP="00F77277">
            <w:pPr>
              <w:pStyle w:val="TableText"/>
            </w:pPr>
            <w:r>
              <w:rPr>
                <w:rFonts w:ascii="Arial" w:hAnsi="Arial" w:cs="Arial"/>
                <w:szCs w:val="18"/>
              </w:rPr>
              <w:t>5.93</w:t>
            </w:r>
          </w:p>
        </w:tc>
        <w:tc>
          <w:tcPr>
            <w:tcW w:w="490" w:type="pct"/>
            <w:noWrap/>
            <w:vAlign w:val="center"/>
            <w:hideMark/>
          </w:tcPr>
          <w:p w14:paraId="1F2724A8" w14:textId="1AA1ABC6" w:rsidR="00F77277" w:rsidRPr="00B969E5" w:rsidRDefault="00F77277" w:rsidP="00F77277">
            <w:pPr>
              <w:pStyle w:val="TableText"/>
            </w:pPr>
            <w:r>
              <w:rPr>
                <w:rFonts w:ascii="Arial" w:hAnsi="Arial" w:cs="Arial"/>
                <w:szCs w:val="18"/>
              </w:rPr>
              <w:t>6.90</w:t>
            </w:r>
          </w:p>
        </w:tc>
        <w:tc>
          <w:tcPr>
            <w:tcW w:w="481" w:type="pct"/>
            <w:noWrap/>
            <w:vAlign w:val="center"/>
            <w:hideMark/>
          </w:tcPr>
          <w:p w14:paraId="3BB6097D" w14:textId="1C956FC9" w:rsidR="00F77277" w:rsidRPr="00B969E5" w:rsidRDefault="00F77277" w:rsidP="00F77277">
            <w:pPr>
              <w:pStyle w:val="TableText"/>
            </w:pPr>
            <w:r>
              <w:rPr>
                <w:rFonts w:ascii="Arial" w:hAnsi="Arial" w:cs="Arial"/>
                <w:szCs w:val="18"/>
              </w:rPr>
              <w:t>-14.1</w:t>
            </w:r>
          </w:p>
        </w:tc>
        <w:tc>
          <w:tcPr>
            <w:tcW w:w="517" w:type="pct"/>
            <w:noWrap/>
            <w:vAlign w:val="center"/>
            <w:hideMark/>
          </w:tcPr>
          <w:p w14:paraId="5196CCB0" w14:textId="69AE4FFB" w:rsidR="00F77277" w:rsidRPr="00B969E5" w:rsidRDefault="00F77277" w:rsidP="00F77277">
            <w:pPr>
              <w:pStyle w:val="TableText"/>
            </w:pPr>
            <w:r>
              <w:rPr>
                <w:rFonts w:ascii="Arial" w:hAnsi="Arial" w:cs="Arial"/>
                <w:szCs w:val="18"/>
              </w:rPr>
              <w:t>6.07</w:t>
            </w:r>
          </w:p>
        </w:tc>
        <w:tc>
          <w:tcPr>
            <w:tcW w:w="487" w:type="pct"/>
            <w:noWrap/>
            <w:vAlign w:val="center"/>
            <w:hideMark/>
          </w:tcPr>
          <w:p w14:paraId="21375255" w14:textId="16DFA6F9" w:rsidR="00F77277" w:rsidRPr="00B969E5" w:rsidRDefault="00F77277" w:rsidP="00F77277">
            <w:pPr>
              <w:pStyle w:val="TableText"/>
            </w:pPr>
            <w:r>
              <w:rPr>
                <w:rFonts w:ascii="Arial" w:hAnsi="Arial" w:cs="Arial"/>
                <w:szCs w:val="18"/>
              </w:rPr>
              <w:t>-2.3</w:t>
            </w:r>
          </w:p>
        </w:tc>
        <w:tc>
          <w:tcPr>
            <w:tcW w:w="467" w:type="pct"/>
            <w:noWrap/>
            <w:vAlign w:val="center"/>
            <w:hideMark/>
          </w:tcPr>
          <w:p w14:paraId="625E4AE9" w14:textId="57B57B52" w:rsidR="00F77277" w:rsidRPr="00B969E5" w:rsidRDefault="00F77277" w:rsidP="00F77277">
            <w:pPr>
              <w:pStyle w:val="TableText"/>
            </w:pPr>
            <w:r>
              <w:rPr>
                <w:rFonts w:ascii="Arial" w:hAnsi="Arial" w:cs="Arial"/>
                <w:szCs w:val="18"/>
              </w:rPr>
              <w:t>11.90</w:t>
            </w:r>
          </w:p>
        </w:tc>
        <w:tc>
          <w:tcPr>
            <w:tcW w:w="434" w:type="pct"/>
            <w:noWrap/>
            <w:vAlign w:val="center"/>
            <w:hideMark/>
          </w:tcPr>
          <w:p w14:paraId="566CCA26" w14:textId="4E186CE6" w:rsidR="00F77277" w:rsidRPr="00B969E5" w:rsidRDefault="00F77277" w:rsidP="00F77277">
            <w:pPr>
              <w:pStyle w:val="TableText"/>
            </w:pPr>
            <w:r>
              <w:rPr>
                <w:rFonts w:ascii="Arial" w:hAnsi="Arial" w:cs="Arial"/>
                <w:szCs w:val="18"/>
              </w:rPr>
              <w:t>-50.2</w:t>
            </w:r>
          </w:p>
        </w:tc>
      </w:tr>
      <w:tr w:rsidR="00F77277" w:rsidRPr="00B969E5" w14:paraId="1FF561AA" w14:textId="77777777" w:rsidTr="00F77277">
        <w:trPr>
          <w:cnfStyle w:val="000000010000" w:firstRow="0" w:lastRow="0" w:firstColumn="0" w:lastColumn="0" w:oddVBand="0" w:evenVBand="0" w:oddHBand="0" w:evenHBand="1" w:firstRowFirstColumn="0" w:firstRowLastColumn="0" w:lastRowFirstColumn="0" w:lastRowLastColumn="0"/>
          <w:trHeight w:val="281"/>
        </w:trPr>
        <w:tc>
          <w:tcPr>
            <w:tcW w:w="436" w:type="pct"/>
            <w:noWrap/>
            <w:vAlign w:val="center"/>
            <w:hideMark/>
          </w:tcPr>
          <w:p w14:paraId="157DB431" w14:textId="700718AB" w:rsidR="00F77277" w:rsidRPr="00B969E5" w:rsidRDefault="00F77277" w:rsidP="00F77277">
            <w:pPr>
              <w:pStyle w:val="TableText"/>
            </w:pPr>
            <w:r>
              <w:rPr>
                <w:rFonts w:ascii="Arial" w:hAnsi="Arial" w:cs="Arial"/>
                <w:szCs w:val="18"/>
              </w:rPr>
              <w:t>RSG</w:t>
            </w:r>
          </w:p>
        </w:tc>
        <w:tc>
          <w:tcPr>
            <w:tcW w:w="1231" w:type="pct"/>
            <w:noWrap/>
            <w:vAlign w:val="center"/>
            <w:hideMark/>
          </w:tcPr>
          <w:p w14:paraId="12767C8B" w14:textId="4D060717" w:rsidR="00F77277" w:rsidRPr="00B969E5" w:rsidRDefault="00F77277" w:rsidP="00F77277">
            <w:pPr>
              <w:pStyle w:val="TableText"/>
            </w:pPr>
            <w:r>
              <w:rPr>
                <w:rFonts w:ascii="Arial" w:hAnsi="Arial" w:cs="Arial"/>
                <w:szCs w:val="18"/>
              </w:rPr>
              <w:t>Resolute Mining Ltd</w:t>
            </w:r>
          </w:p>
        </w:tc>
        <w:tc>
          <w:tcPr>
            <w:tcW w:w="458" w:type="pct"/>
            <w:noWrap/>
            <w:vAlign w:val="center"/>
            <w:hideMark/>
          </w:tcPr>
          <w:p w14:paraId="66949192" w14:textId="01E9426F" w:rsidR="00F77277" w:rsidRPr="00B969E5" w:rsidRDefault="00F77277" w:rsidP="00F77277">
            <w:pPr>
              <w:pStyle w:val="TableText"/>
            </w:pPr>
            <w:r>
              <w:rPr>
                <w:rFonts w:ascii="Arial" w:hAnsi="Arial" w:cs="Arial"/>
                <w:szCs w:val="18"/>
              </w:rPr>
              <w:t>0.80</w:t>
            </w:r>
          </w:p>
        </w:tc>
        <w:tc>
          <w:tcPr>
            <w:tcW w:w="490" w:type="pct"/>
            <w:noWrap/>
            <w:vAlign w:val="center"/>
            <w:hideMark/>
          </w:tcPr>
          <w:p w14:paraId="6CA18D44" w14:textId="435BBCA1" w:rsidR="00F77277" w:rsidRPr="00B969E5" w:rsidRDefault="00F77277" w:rsidP="00F77277">
            <w:pPr>
              <w:pStyle w:val="TableText"/>
            </w:pPr>
            <w:r>
              <w:rPr>
                <w:rFonts w:ascii="Arial" w:hAnsi="Arial" w:cs="Arial"/>
                <w:szCs w:val="18"/>
              </w:rPr>
              <w:t>0.93</w:t>
            </w:r>
          </w:p>
        </w:tc>
        <w:tc>
          <w:tcPr>
            <w:tcW w:w="481" w:type="pct"/>
            <w:noWrap/>
            <w:vAlign w:val="center"/>
            <w:hideMark/>
          </w:tcPr>
          <w:p w14:paraId="0CB553E1" w14:textId="56628B95" w:rsidR="00F77277" w:rsidRPr="00B969E5" w:rsidRDefault="00F77277" w:rsidP="00F77277">
            <w:pPr>
              <w:pStyle w:val="TableText"/>
            </w:pPr>
            <w:r>
              <w:rPr>
                <w:rFonts w:ascii="Arial" w:hAnsi="Arial" w:cs="Arial"/>
                <w:szCs w:val="18"/>
              </w:rPr>
              <w:t>-14.0</w:t>
            </w:r>
          </w:p>
        </w:tc>
        <w:tc>
          <w:tcPr>
            <w:tcW w:w="517" w:type="pct"/>
            <w:noWrap/>
            <w:vAlign w:val="center"/>
            <w:hideMark/>
          </w:tcPr>
          <w:p w14:paraId="235FA10D" w14:textId="79ADEBDD" w:rsidR="00F77277" w:rsidRPr="00B969E5" w:rsidRDefault="00F77277" w:rsidP="00F77277">
            <w:pPr>
              <w:pStyle w:val="TableText"/>
            </w:pPr>
            <w:r>
              <w:rPr>
                <w:rFonts w:ascii="Arial" w:hAnsi="Arial" w:cs="Arial"/>
                <w:szCs w:val="18"/>
              </w:rPr>
              <w:t>1.30</w:t>
            </w:r>
          </w:p>
        </w:tc>
        <w:tc>
          <w:tcPr>
            <w:tcW w:w="487" w:type="pct"/>
            <w:noWrap/>
            <w:vAlign w:val="center"/>
            <w:hideMark/>
          </w:tcPr>
          <w:p w14:paraId="26B2400C" w14:textId="18FC2F2D" w:rsidR="00F77277" w:rsidRPr="00B969E5" w:rsidRDefault="00F77277" w:rsidP="00F77277">
            <w:pPr>
              <w:pStyle w:val="TableText"/>
            </w:pPr>
            <w:r>
              <w:rPr>
                <w:rFonts w:ascii="Arial" w:hAnsi="Arial" w:cs="Arial"/>
                <w:szCs w:val="18"/>
              </w:rPr>
              <w:t>-38.5</w:t>
            </w:r>
          </w:p>
        </w:tc>
        <w:tc>
          <w:tcPr>
            <w:tcW w:w="467" w:type="pct"/>
            <w:noWrap/>
            <w:vAlign w:val="center"/>
            <w:hideMark/>
          </w:tcPr>
          <w:p w14:paraId="1F4FDB69" w14:textId="33D5ABE2" w:rsidR="00F77277" w:rsidRPr="00B969E5" w:rsidRDefault="00F77277" w:rsidP="00F77277">
            <w:pPr>
              <w:pStyle w:val="TableText"/>
            </w:pPr>
            <w:r>
              <w:rPr>
                <w:rFonts w:ascii="Arial" w:hAnsi="Arial" w:cs="Arial"/>
                <w:szCs w:val="18"/>
              </w:rPr>
              <w:t>1.21</w:t>
            </w:r>
          </w:p>
        </w:tc>
        <w:tc>
          <w:tcPr>
            <w:tcW w:w="434" w:type="pct"/>
            <w:noWrap/>
            <w:vAlign w:val="center"/>
            <w:hideMark/>
          </w:tcPr>
          <w:p w14:paraId="55A116D2" w14:textId="6F86E20B" w:rsidR="00F77277" w:rsidRPr="00B969E5" w:rsidRDefault="00F77277" w:rsidP="00F77277">
            <w:pPr>
              <w:pStyle w:val="TableText"/>
            </w:pPr>
            <w:r>
              <w:rPr>
                <w:rFonts w:ascii="Arial" w:hAnsi="Arial" w:cs="Arial"/>
                <w:szCs w:val="18"/>
              </w:rPr>
              <w:t>-33.9</w:t>
            </w:r>
          </w:p>
        </w:tc>
      </w:tr>
      <w:tr w:rsidR="00F77277" w:rsidRPr="00B969E5" w14:paraId="52D7D6CF" w14:textId="77777777" w:rsidTr="00F77277">
        <w:trPr>
          <w:trHeight w:val="281"/>
        </w:trPr>
        <w:tc>
          <w:tcPr>
            <w:tcW w:w="436" w:type="pct"/>
            <w:noWrap/>
            <w:vAlign w:val="center"/>
            <w:hideMark/>
          </w:tcPr>
          <w:p w14:paraId="23B07566" w14:textId="5BAD45A9" w:rsidR="00F77277" w:rsidRPr="00B969E5" w:rsidRDefault="00F77277" w:rsidP="00F77277">
            <w:pPr>
              <w:pStyle w:val="TableText"/>
            </w:pPr>
            <w:r>
              <w:rPr>
                <w:rFonts w:ascii="Arial" w:hAnsi="Arial" w:cs="Arial"/>
                <w:szCs w:val="18"/>
              </w:rPr>
              <w:t>BVS</w:t>
            </w:r>
          </w:p>
        </w:tc>
        <w:tc>
          <w:tcPr>
            <w:tcW w:w="1231" w:type="pct"/>
            <w:noWrap/>
            <w:vAlign w:val="center"/>
            <w:hideMark/>
          </w:tcPr>
          <w:p w14:paraId="43949E33" w14:textId="06FCDA2F" w:rsidR="00F77277" w:rsidRPr="00B969E5" w:rsidRDefault="00F77277" w:rsidP="00F77277">
            <w:pPr>
              <w:pStyle w:val="TableText"/>
            </w:pPr>
            <w:r>
              <w:rPr>
                <w:rFonts w:ascii="Arial" w:hAnsi="Arial" w:cs="Arial"/>
                <w:szCs w:val="18"/>
              </w:rPr>
              <w:t>Bravura Solutions Ltd</w:t>
            </w:r>
          </w:p>
        </w:tc>
        <w:tc>
          <w:tcPr>
            <w:tcW w:w="458" w:type="pct"/>
            <w:noWrap/>
            <w:vAlign w:val="center"/>
            <w:hideMark/>
          </w:tcPr>
          <w:p w14:paraId="3785E3B1" w14:textId="30D56D8F" w:rsidR="00F77277" w:rsidRPr="00B969E5" w:rsidRDefault="00F77277" w:rsidP="00F77277">
            <w:pPr>
              <w:pStyle w:val="TableText"/>
            </w:pPr>
            <w:r>
              <w:rPr>
                <w:rFonts w:ascii="Arial" w:hAnsi="Arial" w:cs="Arial"/>
                <w:szCs w:val="18"/>
              </w:rPr>
              <w:t>2.93</w:t>
            </w:r>
          </w:p>
        </w:tc>
        <w:tc>
          <w:tcPr>
            <w:tcW w:w="490" w:type="pct"/>
            <w:noWrap/>
            <w:vAlign w:val="center"/>
            <w:hideMark/>
          </w:tcPr>
          <w:p w14:paraId="267CDCFC" w14:textId="44F8C7CF" w:rsidR="00F77277" w:rsidRPr="00B969E5" w:rsidRDefault="00F77277" w:rsidP="00F77277">
            <w:pPr>
              <w:pStyle w:val="TableText"/>
            </w:pPr>
            <w:r>
              <w:rPr>
                <w:rFonts w:ascii="Arial" w:hAnsi="Arial" w:cs="Arial"/>
                <w:szCs w:val="18"/>
              </w:rPr>
              <w:t>3.40</w:t>
            </w:r>
          </w:p>
        </w:tc>
        <w:tc>
          <w:tcPr>
            <w:tcW w:w="481" w:type="pct"/>
            <w:noWrap/>
            <w:vAlign w:val="center"/>
            <w:hideMark/>
          </w:tcPr>
          <w:p w14:paraId="1F3687AA" w14:textId="4B23531A" w:rsidR="00F77277" w:rsidRPr="00B969E5" w:rsidRDefault="00F77277" w:rsidP="00F77277">
            <w:pPr>
              <w:pStyle w:val="TableText"/>
            </w:pPr>
            <w:r>
              <w:rPr>
                <w:rFonts w:ascii="Arial" w:hAnsi="Arial" w:cs="Arial"/>
                <w:szCs w:val="18"/>
              </w:rPr>
              <w:t>-13.8</w:t>
            </w:r>
          </w:p>
        </w:tc>
        <w:tc>
          <w:tcPr>
            <w:tcW w:w="517" w:type="pct"/>
            <w:noWrap/>
            <w:vAlign w:val="center"/>
            <w:hideMark/>
          </w:tcPr>
          <w:p w14:paraId="09FF4F9D" w14:textId="6DEBE048" w:rsidR="00F77277" w:rsidRPr="00B969E5" w:rsidRDefault="00F77277" w:rsidP="00F77277">
            <w:pPr>
              <w:pStyle w:val="TableText"/>
            </w:pPr>
            <w:r>
              <w:rPr>
                <w:rFonts w:ascii="Arial" w:hAnsi="Arial" w:cs="Arial"/>
                <w:szCs w:val="18"/>
              </w:rPr>
              <w:t>4.18</w:t>
            </w:r>
          </w:p>
        </w:tc>
        <w:tc>
          <w:tcPr>
            <w:tcW w:w="487" w:type="pct"/>
            <w:noWrap/>
            <w:vAlign w:val="center"/>
            <w:hideMark/>
          </w:tcPr>
          <w:p w14:paraId="229DFF1F" w14:textId="0C034BF8" w:rsidR="00F77277" w:rsidRPr="00B969E5" w:rsidRDefault="00F77277" w:rsidP="00F77277">
            <w:pPr>
              <w:pStyle w:val="TableText"/>
            </w:pPr>
            <w:r>
              <w:rPr>
                <w:rFonts w:ascii="Arial" w:hAnsi="Arial" w:cs="Arial"/>
                <w:szCs w:val="18"/>
              </w:rPr>
              <w:t>-29.9</w:t>
            </w:r>
          </w:p>
        </w:tc>
        <w:tc>
          <w:tcPr>
            <w:tcW w:w="467" w:type="pct"/>
            <w:noWrap/>
            <w:vAlign w:val="center"/>
            <w:hideMark/>
          </w:tcPr>
          <w:p w14:paraId="22510DDF" w14:textId="36F9E814" w:rsidR="00F77277" w:rsidRPr="00B969E5" w:rsidRDefault="00F77277" w:rsidP="00F77277">
            <w:pPr>
              <w:pStyle w:val="TableText"/>
            </w:pPr>
            <w:r>
              <w:rPr>
                <w:rFonts w:ascii="Arial" w:hAnsi="Arial" w:cs="Arial"/>
                <w:szCs w:val="18"/>
              </w:rPr>
              <w:t>4.11</w:t>
            </w:r>
          </w:p>
        </w:tc>
        <w:tc>
          <w:tcPr>
            <w:tcW w:w="434" w:type="pct"/>
            <w:noWrap/>
            <w:vAlign w:val="center"/>
            <w:hideMark/>
          </w:tcPr>
          <w:p w14:paraId="1A8DF40A" w14:textId="0DA18DCF" w:rsidR="00F77277" w:rsidRPr="00B969E5" w:rsidRDefault="00F77277" w:rsidP="00F77277">
            <w:pPr>
              <w:pStyle w:val="TableText"/>
            </w:pPr>
            <w:r>
              <w:rPr>
                <w:rFonts w:ascii="Arial" w:hAnsi="Arial" w:cs="Arial"/>
                <w:szCs w:val="18"/>
              </w:rPr>
              <w:t>-28.7</w:t>
            </w:r>
          </w:p>
        </w:tc>
      </w:tr>
      <w:tr w:rsidR="00F77277" w:rsidRPr="00B969E5" w14:paraId="582CB572" w14:textId="77777777" w:rsidTr="00F77277">
        <w:trPr>
          <w:cnfStyle w:val="000000010000" w:firstRow="0" w:lastRow="0" w:firstColumn="0" w:lastColumn="0" w:oddVBand="0" w:evenVBand="0" w:oddHBand="0" w:evenHBand="1" w:firstRowFirstColumn="0" w:firstRowLastColumn="0" w:lastRowFirstColumn="0" w:lastRowLastColumn="0"/>
          <w:trHeight w:val="295"/>
        </w:trPr>
        <w:tc>
          <w:tcPr>
            <w:tcW w:w="436" w:type="pct"/>
            <w:noWrap/>
            <w:vAlign w:val="center"/>
            <w:hideMark/>
          </w:tcPr>
          <w:p w14:paraId="3D589F5D" w14:textId="25EFAD00" w:rsidR="00F77277" w:rsidRPr="00B969E5" w:rsidRDefault="00F77277" w:rsidP="00F77277">
            <w:pPr>
              <w:pStyle w:val="TableText"/>
            </w:pPr>
            <w:r>
              <w:rPr>
                <w:rFonts w:ascii="Arial" w:hAnsi="Arial" w:cs="Arial"/>
                <w:szCs w:val="18"/>
              </w:rPr>
              <w:t>OBL</w:t>
            </w:r>
          </w:p>
        </w:tc>
        <w:tc>
          <w:tcPr>
            <w:tcW w:w="1231" w:type="pct"/>
            <w:noWrap/>
            <w:vAlign w:val="center"/>
            <w:hideMark/>
          </w:tcPr>
          <w:p w14:paraId="0BE6764D" w14:textId="23DF0BD5" w:rsidR="00F77277" w:rsidRPr="00B969E5" w:rsidRDefault="00F77277" w:rsidP="00F77277">
            <w:pPr>
              <w:pStyle w:val="TableText"/>
            </w:pPr>
            <w:r>
              <w:rPr>
                <w:rFonts w:ascii="Arial" w:hAnsi="Arial" w:cs="Arial"/>
                <w:szCs w:val="18"/>
              </w:rPr>
              <w:t>Omni Bridgeway Ltd</w:t>
            </w:r>
          </w:p>
        </w:tc>
        <w:tc>
          <w:tcPr>
            <w:tcW w:w="458" w:type="pct"/>
            <w:noWrap/>
            <w:vAlign w:val="center"/>
            <w:hideMark/>
          </w:tcPr>
          <w:p w14:paraId="23550E57" w14:textId="29A76C16" w:rsidR="00F77277" w:rsidRPr="00B969E5" w:rsidRDefault="00F77277" w:rsidP="00F77277">
            <w:pPr>
              <w:pStyle w:val="TableText"/>
            </w:pPr>
            <w:r>
              <w:rPr>
                <w:rFonts w:ascii="Arial" w:hAnsi="Arial" w:cs="Arial"/>
                <w:szCs w:val="18"/>
              </w:rPr>
              <w:t>3.45</w:t>
            </w:r>
          </w:p>
        </w:tc>
        <w:tc>
          <w:tcPr>
            <w:tcW w:w="490" w:type="pct"/>
            <w:noWrap/>
            <w:vAlign w:val="center"/>
            <w:hideMark/>
          </w:tcPr>
          <w:p w14:paraId="1113D316" w14:textId="3708CD73" w:rsidR="00F77277" w:rsidRPr="00B969E5" w:rsidRDefault="00F77277" w:rsidP="00F77277">
            <w:pPr>
              <w:pStyle w:val="TableText"/>
            </w:pPr>
            <w:r>
              <w:rPr>
                <w:rFonts w:ascii="Arial" w:hAnsi="Arial" w:cs="Arial"/>
                <w:szCs w:val="18"/>
              </w:rPr>
              <w:t>3.93</w:t>
            </w:r>
          </w:p>
        </w:tc>
        <w:tc>
          <w:tcPr>
            <w:tcW w:w="481" w:type="pct"/>
            <w:noWrap/>
            <w:vAlign w:val="center"/>
            <w:hideMark/>
          </w:tcPr>
          <w:p w14:paraId="40959E4D" w14:textId="15078E59" w:rsidR="00F77277" w:rsidRPr="00B969E5" w:rsidRDefault="00F77277" w:rsidP="00F77277">
            <w:pPr>
              <w:pStyle w:val="TableText"/>
            </w:pPr>
            <w:r>
              <w:rPr>
                <w:rFonts w:ascii="Arial" w:hAnsi="Arial" w:cs="Arial"/>
                <w:szCs w:val="18"/>
              </w:rPr>
              <w:t>-12.2</w:t>
            </w:r>
          </w:p>
        </w:tc>
        <w:tc>
          <w:tcPr>
            <w:tcW w:w="517" w:type="pct"/>
            <w:noWrap/>
            <w:vAlign w:val="center"/>
            <w:hideMark/>
          </w:tcPr>
          <w:p w14:paraId="46E6C95D" w14:textId="5C0BBF3B" w:rsidR="00F77277" w:rsidRPr="00B969E5" w:rsidRDefault="00F77277" w:rsidP="00F77277">
            <w:pPr>
              <w:pStyle w:val="TableText"/>
            </w:pPr>
            <w:r>
              <w:rPr>
                <w:rFonts w:ascii="Arial" w:hAnsi="Arial" w:cs="Arial"/>
                <w:szCs w:val="18"/>
              </w:rPr>
              <w:t>4.58</w:t>
            </w:r>
          </w:p>
        </w:tc>
        <w:tc>
          <w:tcPr>
            <w:tcW w:w="487" w:type="pct"/>
            <w:noWrap/>
            <w:vAlign w:val="center"/>
            <w:hideMark/>
          </w:tcPr>
          <w:p w14:paraId="1EC7C303" w14:textId="1BAB9C6A" w:rsidR="00F77277" w:rsidRPr="00B969E5" w:rsidRDefault="00F77277" w:rsidP="00F77277">
            <w:pPr>
              <w:pStyle w:val="TableText"/>
            </w:pPr>
            <w:r>
              <w:rPr>
                <w:rFonts w:ascii="Arial" w:hAnsi="Arial" w:cs="Arial"/>
                <w:szCs w:val="18"/>
              </w:rPr>
              <w:t>-24.7</w:t>
            </w:r>
          </w:p>
        </w:tc>
        <w:tc>
          <w:tcPr>
            <w:tcW w:w="467" w:type="pct"/>
            <w:noWrap/>
            <w:vAlign w:val="center"/>
            <w:hideMark/>
          </w:tcPr>
          <w:p w14:paraId="709115D7" w14:textId="06C3C25F" w:rsidR="00F77277" w:rsidRPr="00B969E5" w:rsidRDefault="00F77277" w:rsidP="00F77277">
            <w:pPr>
              <w:pStyle w:val="TableText"/>
            </w:pPr>
            <w:r>
              <w:rPr>
                <w:rFonts w:ascii="Arial" w:hAnsi="Arial" w:cs="Arial"/>
                <w:szCs w:val="18"/>
              </w:rPr>
              <w:t>3.41</w:t>
            </w:r>
          </w:p>
        </w:tc>
        <w:tc>
          <w:tcPr>
            <w:tcW w:w="434" w:type="pct"/>
            <w:noWrap/>
            <w:vAlign w:val="center"/>
            <w:hideMark/>
          </w:tcPr>
          <w:p w14:paraId="08FFCB73" w14:textId="08C7508D" w:rsidR="00F77277" w:rsidRPr="00B969E5" w:rsidRDefault="00F77277" w:rsidP="00F77277">
            <w:pPr>
              <w:pStyle w:val="TableText"/>
            </w:pPr>
            <w:r>
              <w:rPr>
                <w:rFonts w:ascii="Arial" w:hAnsi="Arial" w:cs="Arial"/>
                <w:szCs w:val="18"/>
              </w:rPr>
              <w:t>1.2</w:t>
            </w:r>
          </w:p>
        </w:tc>
      </w:tr>
    </w:tbl>
    <w:p w14:paraId="32674745" w14:textId="77777777" w:rsidR="003D56F7" w:rsidRDefault="003D56F7" w:rsidP="003D56F7">
      <w:pPr>
        <w:pStyle w:val="Disclaimer"/>
      </w:pPr>
      <w:r>
        <w:t>Source: Bloomberg, IOOF</w:t>
      </w:r>
    </w:p>
    <w:p w14:paraId="2A7C984A" w14:textId="77777777" w:rsidR="00E06B70" w:rsidRDefault="00E06B70" w:rsidP="00243AA4">
      <w:pPr>
        <w:pStyle w:val="BodyText"/>
      </w:pPr>
    </w:p>
    <w:p w14:paraId="7F48EA12" w14:textId="77777777" w:rsidR="005E05C6" w:rsidRDefault="005E05C6">
      <w:pPr>
        <w:rPr>
          <w:rFonts w:cs="Arial"/>
          <w:b/>
          <w:bCs/>
          <w:iCs/>
          <w:color w:val="007A45"/>
          <w:sz w:val="28"/>
          <w:szCs w:val="28"/>
        </w:rPr>
      </w:pPr>
      <w:r>
        <w:br w:type="page"/>
      </w:r>
    </w:p>
    <w:p w14:paraId="7316AB60" w14:textId="42C8F8BA" w:rsidR="00E06B70" w:rsidRDefault="00E06B70" w:rsidP="003D56F7">
      <w:pPr>
        <w:pStyle w:val="Heading2"/>
      </w:pPr>
      <w:r>
        <w:lastRenderedPageBreak/>
        <w:t xml:space="preserve">Long-term asset class performance to </w:t>
      </w:r>
      <w:r w:rsidR="00585F8F">
        <w:t>October</w:t>
      </w:r>
      <w:r>
        <w:t xml:space="preserve"> 2020 (Total returns in AUD)</w:t>
      </w:r>
    </w:p>
    <w:tbl>
      <w:tblPr>
        <w:tblStyle w:val="TableIOOF"/>
        <w:tblW w:w="5000" w:type="pct"/>
        <w:tblLayout w:type="fixed"/>
        <w:tblLook w:val="04A0" w:firstRow="1" w:lastRow="0" w:firstColumn="1" w:lastColumn="0" w:noHBand="0" w:noVBand="1"/>
      </w:tblPr>
      <w:tblGrid>
        <w:gridCol w:w="2685"/>
        <w:gridCol w:w="850"/>
        <w:gridCol w:w="771"/>
        <w:gridCol w:w="816"/>
        <w:gridCol w:w="824"/>
        <w:gridCol w:w="749"/>
        <w:gridCol w:w="704"/>
        <w:gridCol w:w="663"/>
        <w:gridCol w:w="732"/>
        <w:gridCol w:w="698"/>
        <w:gridCol w:w="706"/>
      </w:tblGrid>
      <w:tr w:rsidR="003D56F7" w:rsidRPr="00B969E5" w14:paraId="24EF4A78" w14:textId="77777777" w:rsidTr="00F77277">
        <w:trPr>
          <w:cnfStyle w:val="100000000000" w:firstRow="1" w:lastRow="0" w:firstColumn="0" w:lastColumn="0" w:oddVBand="0" w:evenVBand="0" w:oddHBand="0" w:evenHBand="0" w:firstRowFirstColumn="0" w:firstRowLastColumn="0" w:lastRowFirstColumn="0" w:lastRowLastColumn="0"/>
          <w:trHeight w:val="454"/>
        </w:trPr>
        <w:tc>
          <w:tcPr>
            <w:tcW w:w="2512" w:type="pct"/>
            <w:gridSpan w:val="4"/>
            <w:tcBorders>
              <w:bottom w:val="single" w:sz="2" w:space="0" w:color="FFFFFF" w:themeColor="background1"/>
            </w:tcBorders>
            <w:shd w:val="clear" w:color="auto" w:fill="FFFFFF" w:themeFill="background1"/>
            <w:noWrap/>
            <w:hideMark/>
          </w:tcPr>
          <w:p w14:paraId="47CE0904" w14:textId="77777777" w:rsidR="003D56F7" w:rsidRPr="00B969E5" w:rsidRDefault="003D56F7" w:rsidP="003D56F7">
            <w:pPr>
              <w:pStyle w:val="TableHeading"/>
            </w:pPr>
          </w:p>
        </w:tc>
        <w:tc>
          <w:tcPr>
            <w:tcW w:w="2488" w:type="pct"/>
            <w:gridSpan w:val="7"/>
            <w:tcBorders>
              <w:bottom w:val="single" w:sz="2" w:space="0" w:color="FFFFFF" w:themeColor="background1"/>
            </w:tcBorders>
            <w:noWrap/>
            <w:vAlign w:val="center"/>
            <w:hideMark/>
          </w:tcPr>
          <w:p w14:paraId="463CC8C7" w14:textId="77777777" w:rsidR="003D56F7" w:rsidRPr="00B969E5" w:rsidRDefault="003D56F7" w:rsidP="003D56F7">
            <w:pPr>
              <w:pStyle w:val="TableHeading"/>
              <w:jc w:val="center"/>
            </w:pPr>
            <w:r w:rsidRPr="00B969E5">
              <w:t>Annualised</w:t>
            </w:r>
          </w:p>
        </w:tc>
      </w:tr>
      <w:tr w:rsidR="003D56F7" w:rsidRPr="00B969E5" w14:paraId="6C6B9702" w14:textId="77777777" w:rsidTr="00F77277">
        <w:trPr>
          <w:trHeight w:val="454"/>
        </w:trPr>
        <w:tc>
          <w:tcPr>
            <w:tcW w:w="1317" w:type="pct"/>
            <w:shd w:val="solid" w:color="83B827" w:themeColor="accent5" w:fill="F5F5F6" w:themeFill="background2"/>
            <w:noWrap/>
            <w:hideMark/>
          </w:tcPr>
          <w:p w14:paraId="0B089EB6" w14:textId="77777777" w:rsidR="003D56F7" w:rsidRPr="00B969E5" w:rsidRDefault="003D56F7" w:rsidP="003D56F7">
            <w:pPr>
              <w:pStyle w:val="TableHeading"/>
            </w:pPr>
            <w:r w:rsidRPr="00B969E5">
              <w:t>Asset class</w:t>
            </w:r>
          </w:p>
        </w:tc>
        <w:tc>
          <w:tcPr>
            <w:tcW w:w="417" w:type="pct"/>
            <w:shd w:val="solid" w:color="83B827" w:themeColor="accent5" w:fill="F5F5F6" w:themeFill="background2"/>
            <w:noWrap/>
            <w:hideMark/>
          </w:tcPr>
          <w:p w14:paraId="64BD59AC" w14:textId="77777777" w:rsidR="003D56F7" w:rsidRPr="00B969E5" w:rsidRDefault="003D56F7" w:rsidP="003D56F7">
            <w:pPr>
              <w:pStyle w:val="TableHeading"/>
            </w:pPr>
            <w:r w:rsidRPr="00B969E5">
              <w:t>1-mth</w:t>
            </w:r>
          </w:p>
        </w:tc>
        <w:tc>
          <w:tcPr>
            <w:tcW w:w="378" w:type="pct"/>
            <w:shd w:val="solid" w:color="83B827" w:themeColor="accent5" w:fill="F5F5F6" w:themeFill="background2"/>
            <w:noWrap/>
            <w:hideMark/>
          </w:tcPr>
          <w:p w14:paraId="4F26061B" w14:textId="77777777" w:rsidR="003D56F7" w:rsidRPr="00B969E5" w:rsidRDefault="003D56F7" w:rsidP="003D56F7">
            <w:pPr>
              <w:pStyle w:val="TableHeading"/>
            </w:pPr>
            <w:r w:rsidRPr="00B969E5">
              <w:t>3-mth</w:t>
            </w:r>
          </w:p>
        </w:tc>
        <w:tc>
          <w:tcPr>
            <w:tcW w:w="400" w:type="pct"/>
            <w:shd w:val="solid" w:color="83B827" w:themeColor="accent5" w:fill="F5F5F6" w:themeFill="background2"/>
            <w:noWrap/>
            <w:hideMark/>
          </w:tcPr>
          <w:p w14:paraId="00C525DC" w14:textId="77777777" w:rsidR="003D56F7" w:rsidRPr="00B969E5" w:rsidRDefault="003D56F7" w:rsidP="003D56F7">
            <w:pPr>
              <w:pStyle w:val="TableHeading"/>
            </w:pPr>
            <w:r w:rsidRPr="00B969E5">
              <w:t>6-mth</w:t>
            </w:r>
          </w:p>
        </w:tc>
        <w:tc>
          <w:tcPr>
            <w:tcW w:w="404" w:type="pct"/>
            <w:shd w:val="solid" w:color="83B827" w:themeColor="accent5" w:fill="F5F5F6" w:themeFill="background2"/>
            <w:noWrap/>
            <w:hideMark/>
          </w:tcPr>
          <w:p w14:paraId="264A198D" w14:textId="77777777" w:rsidR="003D56F7" w:rsidRPr="00B969E5" w:rsidRDefault="003D56F7" w:rsidP="003D56F7">
            <w:pPr>
              <w:pStyle w:val="TableHeading"/>
            </w:pPr>
            <w:r w:rsidRPr="00B969E5">
              <w:t>1-yr</w:t>
            </w:r>
          </w:p>
        </w:tc>
        <w:tc>
          <w:tcPr>
            <w:tcW w:w="367" w:type="pct"/>
            <w:shd w:val="solid" w:color="83B827" w:themeColor="accent5" w:fill="F5F5F6" w:themeFill="background2"/>
            <w:noWrap/>
            <w:hideMark/>
          </w:tcPr>
          <w:p w14:paraId="03C30BA5" w14:textId="77777777" w:rsidR="003D56F7" w:rsidRPr="00B969E5" w:rsidRDefault="003D56F7" w:rsidP="003D56F7">
            <w:pPr>
              <w:pStyle w:val="TableHeading"/>
            </w:pPr>
            <w:r w:rsidRPr="00B969E5">
              <w:t>3-yr</w:t>
            </w:r>
          </w:p>
        </w:tc>
        <w:tc>
          <w:tcPr>
            <w:tcW w:w="345" w:type="pct"/>
            <w:shd w:val="solid" w:color="83B827" w:themeColor="accent5" w:fill="F5F5F6" w:themeFill="background2"/>
            <w:noWrap/>
            <w:hideMark/>
          </w:tcPr>
          <w:p w14:paraId="6CA27A9D" w14:textId="77777777" w:rsidR="003D56F7" w:rsidRPr="00B969E5" w:rsidRDefault="003D56F7" w:rsidP="003D56F7">
            <w:pPr>
              <w:pStyle w:val="TableHeading"/>
            </w:pPr>
            <w:r w:rsidRPr="00B969E5">
              <w:t>5-yr</w:t>
            </w:r>
          </w:p>
        </w:tc>
        <w:tc>
          <w:tcPr>
            <w:tcW w:w="325" w:type="pct"/>
            <w:shd w:val="solid" w:color="83B827" w:themeColor="accent5" w:fill="F5F5F6" w:themeFill="background2"/>
            <w:noWrap/>
            <w:hideMark/>
          </w:tcPr>
          <w:p w14:paraId="3046CE09" w14:textId="77777777" w:rsidR="003D56F7" w:rsidRPr="00B969E5" w:rsidRDefault="003D56F7" w:rsidP="003D56F7">
            <w:pPr>
              <w:pStyle w:val="TableHeading"/>
            </w:pPr>
            <w:r w:rsidRPr="00B969E5">
              <w:t>7-yr</w:t>
            </w:r>
          </w:p>
        </w:tc>
        <w:tc>
          <w:tcPr>
            <w:tcW w:w="359" w:type="pct"/>
            <w:shd w:val="solid" w:color="83B827" w:themeColor="accent5" w:fill="F5F5F6" w:themeFill="background2"/>
            <w:noWrap/>
            <w:hideMark/>
          </w:tcPr>
          <w:p w14:paraId="275B0E35" w14:textId="77777777" w:rsidR="003D56F7" w:rsidRPr="00B969E5" w:rsidRDefault="003D56F7" w:rsidP="003D56F7">
            <w:pPr>
              <w:pStyle w:val="TableHeading"/>
            </w:pPr>
            <w:r w:rsidRPr="00B969E5">
              <w:t>10-yr</w:t>
            </w:r>
          </w:p>
        </w:tc>
        <w:tc>
          <w:tcPr>
            <w:tcW w:w="342" w:type="pct"/>
            <w:shd w:val="solid" w:color="83B827" w:themeColor="accent5" w:fill="F5F5F6" w:themeFill="background2"/>
            <w:noWrap/>
            <w:hideMark/>
          </w:tcPr>
          <w:p w14:paraId="6B3CC00C" w14:textId="77777777" w:rsidR="003D56F7" w:rsidRPr="00B969E5" w:rsidRDefault="003D56F7" w:rsidP="003D56F7">
            <w:pPr>
              <w:pStyle w:val="TableHeading"/>
            </w:pPr>
            <w:r w:rsidRPr="00B969E5">
              <w:t>15-yr</w:t>
            </w:r>
          </w:p>
        </w:tc>
        <w:tc>
          <w:tcPr>
            <w:tcW w:w="345" w:type="pct"/>
            <w:shd w:val="solid" w:color="83B827" w:themeColor="accent5" w:fill="F5F5F6" w:themeFill="background2"/>
            <w:noWrap/>
            <w:hideMark/>
          </w:tcPr>
          <w:p w14:paraId="14A0806D" w14:textId="77777777" w:rsidR="003D56F7" w:rsidRPr="00B969E5" w:rsidRDefault="003D56F7" w:rsidP="003D56F7">
            <w:pPr>
              <w:pStyle w:val="TableHeading"/>
            </w:pPr>
            <w:r w:rsidRPr="00B969E5">
              <w:t>20-yr</w:t>
            </w:r>
          </w:p>
        </w:tc>
      </w:tr>
      <w:tr w:rsidR="00F77277" w:rsidRPr="00B969E5" w14:paraId="19C995FC"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768D1784"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equities (S&amp;P/ASX 200)</w:t>
            </w:r>
          </w:p>
        </w:tc>
        <w:tc>
          <w:tcPr>
            <w:tcW w:w="417" w:type="pct"/>
            <w:noWrap/>
            <w:vAlign w:val="center"/>
            <w:hideMark/>
          </w:tcPr>
          <w:p w14:paraId="1DCC2375" w14:textId="1F62EBB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378" w:type="pct"/>
            <w:noWrap/>
            <w:vAlign w:val="center"/>
            <w:hideMark/>
          </w:tcPr>
          <w:p w14:paraId="3B7906C3" w14:textId="7F828B22"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1.0%</w:t>
            </w:r>
          </w:p>
        </w:tc>
        <w:tc>
          <w:tcPr>
            <w:tcW w:w="400" w:type="pct"/>
            <w:noWrap/>
            <w:vAlign w:val="center"/>
            <w:hideMark/>
          </w:tcPr>
          <w:p w14:paraId="2D0536B7" w14:textId="50E4D10B"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8.7%</w:t>
            </w:r>
          </w:p>
        </w:tc>
        <w:tc>
          <w:tcPr>
            <w:tcW w:w="404" w:type="pct"/>
            <w:noWrap/>
            <w:vAlign w:val="center"/>
            <w:hideMark/>
          </w:tcPr>
          <w:p w14:paraId="3C10D615" w14:textId="7759FE3F"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-8.1%</w:t>
            </w:r>
          </w:p>
        </w:tc>
        <w:tc>
          <w:tcPr>
            <w:tcW w:w="367" w:type="pct"/>
            <w:noWrap/>
            <w:vAlign w:val="center"/>
            <w:hideMark/>
          </w:tcPr>
          <w:p w14:paraId="6CF1C808" w14:textId="6F4E3D8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4.1%</w:t>
            </w:r>
          </w:p>
        </w:tc>
        <w:tc>
          <w:tcPr>
            <w:tcW w:w="345" w:type="pct"/>
            <w:noWrap/>
            <w:vAlign w:val="center"/>
            <w:hideMark/>
          </w:tcPr>
          <w:p w14:paraId="1293C409" w14:textId="2B70F38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6.8%</w:t>
            </w:r>
          </w:p>
        </w:tc>
        <w:tc>
          <w:tcPr>
            <w:tcW w:w="325" w:type="pct"/>
            <w:noWrap/>
            <w:vAlign w:val="center"/>
            <w:hideMark/>
          </w:tcPr>
          <w:p w14:paraId="49D43AC0" w14:textId="24F4275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5.6%</w:t>
            </w:r>
          </w:p>
        </w:tc>
        <w:tc>
          <w:tcPr>
            <w:tcW w:w="359" w:type="pct"/>
            <w:noWrap/>
            <w:vAlign w:val="center"/>
            <w:hideMark/>
          </w:tcPr>
          <w:p w14:paraId="6DDEBB67" w14:textId="1328D54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6.9%</w:t>
            </w:r>
          </w:p>
        </w:tc>
        <w:tc>
          <w:tcPr>
            <w:tcW w:w="342" w:type="pct"/>
            <w:noWrap/>
            <w:vAlign w:val="center"/>
            <w:hideMark/>
          </w:tcPr>
          <w:p w14:paraId="14C84E97" w14:textId="744D5EB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6.4%</w:t>
            </w:r>
          </w:p>
        </w:tc>
        <w:tc>
          <w:tcPr>
            <w:tcW w:w="345" w:type="pct"/>
            <w:noWrap/>
            <w:vAlign w:val="center"/>
            <w:hideMark/>
          </w:tcPr>
          <w:p w14:paraId="637BA72F" w14:textId="08CF831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7.5%</w:t>
            </w:r>
          </w:p>
        </w:tc>
      </w:tr>
      <w:tr w:rsidR="00F77277" w:rsidRPr="00B969E5" w14:paraId="452D2F70" w14:textId="77777777" w:rsidTr="00F77277">
        <w:trPr>
          <w:trHeight w:val="283"/>
        </w:trPr>
        <w:tc>
          <w:tcPr>
            <w:tcW w:w="1317" w:type="pct"/>
            <w:noWrap/>
            <w:hideMark/>
          </w:tcPr>
          <w:p w14:paraId="658BAB34"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equities - Mid caps</w:t>
            </w:r>
          </w:p>
        </w:tc>
        <w:tc>
          <w:tcPr>
            <w:tcW w:w="417" w:type="pct"/>
            <w:noWrap/>
            <w:vAlign w:val="center"/>
            <w:hideMark/>
          </w:tcPr>
          <w:p w14:paraId="3A33CEBF" w14:textId="2E334B5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6.1%</w:t>
            </w:r>
          </w:p>
        </w:tc>
        <w:tc>
          <w:tcPr>
            <w:tcW w:w="378" w:type="pct"/>
            <w:noWrap/>
            <w:vAlign w:val="center"/>
            <w:hideMark/>
          </w:tcPr>
          <w:p w14:paraId="708F3B98" w14:textId="4ABB4E07"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9.3%</w:t>
            </w:r>
          </w:p>
        </w:tc>
        <w:tc>
          <w:tcPr>
            <w:tcW w:w="400" w:type="pct"/>
            <w:noWrap/>
            <w:vAlign w:val="center"/>
            <w:hideMark/>
          </w:tcPr>
          <w:p w14:paraId="41EE17A0" w14:textId="26B5FB75"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25.2%</w:t>
            </w:r>
          </w:p>
        </w:tc>
        <w:tc>
          <w:tcPr>
            <w:tcW w:w="404" w:type="pct"/>
            <w:noWrap/>
            <w:vAlign w:val="center"/>
            <w:hideMark/>
          </w:tcPr>
          <w:p w14:paraId="660D340F" w14:textId="7654AE86"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8.9%</w:t>
            </w:r>
          </w:p>
        </w:tc>
        <w:tc>
          <w:tcPr>
            <w:tcW w:w="367" w:type="pct"/>
            <w:noWrap/>
            <w:vAlign w:val="center"/>
            <w:hideMark/>
          </w:tcPr>
          <w:p w14:paraId="2393029C" w14:textId="1E6E0E3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8.2%</w:t>
            </w:r>
          </w:p>
        </w:tc>
        <w:tc>
          <w:tcPr>
            <w:tcW w:w="345" w:type="pct"/>
            <w:noWrap/>
            <w:vAlign w:val="center"/>
            <w:hideMark/>
          </w:tcPr>
          <w:p w14:paraId="59D7E85F" w14:textId="3C2C719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11.8%</w:t>
            </w:r>
          </w:p>
        </w:tc>
        <w:tc>
          <w:tcPr>
            <w:tcW w:w="325" w:type="pct"/>
            <w:noWrap/>
            <w:vAlign w:val="center"/>
            <w:hideMark/>
          </w:tcPr>
          <w:p w14:paraId="4AFA6C36" w14:textId="0D6648D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11.9%</w:t>
            </w:r>
          </w:p>
        </w:tc>
        <w:tc>
          <w:tcPr>
            <w:tcW w:w="359" w:type="pct"/>
            <w:noWrap/>
            <w:vAlign w:val="center"/>
            <w:hideMark/>
          </w:tcPr>
          <w:p w14:paraId="04163C72" w14:textId="7C420A2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9.8%</w:t>
            </w:r>
          </w:p>
        </w:tc>
        <w:tc>
          <w:tcPr>
            <w:tcW w:w="342" w:type="pct"/>
            <w:noWrap/>
            <w:vAlign w:val="center"/>
            <w:hideMark/>
          </w:tcPr>
          <w:p w14:paraId="6419994F" w14:textId="79949B1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7.5%</w:t>
            </w:r>
          </w:p>
        </w:tc>
        <w:tc>
          <w:tcPr>
            <w:tcW w:w="345" w:type="pct"/>
            <w:noWrap/>
            <w:vAlign w:val="center"/>
            <w:hideMark/>
          </w:tcPr>
          <w:p w14:paraId="451B58DF" w14:textId="55E7A0B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10.5%</w:t>
            </w:r>
          </w:p>
        </w:tc>
      </w:tr>
      <w:tr w:rsidR="00F77277" w:rsidRPr="00B969E5" w14:paraId="05BF6D79"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7181C004"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equities - Small caps</w:t>
            </w:r>
          </w:p>
        </w:tc>
        <w:tc>
          <w:tcPr>
            <w:tcW w:w="417" w:type="pct"/>
            <w:noWrap/>
            <w:vAlign w:val="center"/>
            <w:hideMark/>
          </w:tcPr>
          <w:p w14:paraId="19B03B9D" w14:textId="4BFD913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0.5%</w:t>
            </w:r>
          </w:p>
        </w:tc>
        <w:tc>
          <w:tcPr>
            <w:tcW w:w="378" w:type="pct"/>
            <w:noWrap/>
            <w:vAlign w:val="center"/>
            <w:hideMark/>
          </w:tcPr>
          <w:p w14:paraId="18EBA7B7" w14:textId="10A29369"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4.7%</w:t>
            </w:r>
          </w:p>
        </w:tc>
        <w:tc>
          <w:tcPr>
            <w:tcW w:w="400" w:type="pct"/>
            <w:noWrap/>
            <w:vAlign w:val="center"/>
            <w:hideMark/>
          </w:tcPr>
          <w:p w14:paraId="238DDB5E" w14:textId="6E679738"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15.1%</w:t>
            </w:r>
          </w:p>
        </w:tc>
        <w:tc>
          <w:tcPr>
            <w:tcW w:w="404" w:type="pct"/>
            <w:noWrap/>
            <w:vAlign w:val="center"/>
            <w:hideMark/>
          </w:tcPr>
          <w:p w14:paraId="14256E5B" w14:textId="6E3FB5AE"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-2.4%</w:t>
            </w:r>
          </w:p>
        </w:tc>
        <w:tc>
          <w:tcPr>
            <w:tcW w:w="367" w:type="pct"/>
            <w:noWrap/>
            <w:vAlign w:val="center"/>
            <w:hideMark/>
          </w:tcPr>
          <w:p w14:paraId="7B075E4A" w14:textId="66EC6DA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4.6%</w:t>
            </w:r>
          </w:p>
        </w:tc>
        <w:tc>
          <w:tcPr>
            <w:tcW w:w="345" w:type="pct"/>
            <w:noWrap/>
            <w:vAlign w:val="center"/>
            <w:hideMark/>
          </w:tcPr>
          <w:p w14:paraId="64B936CA" w14:textId="5DAC53F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8.6%</w:t>
            </w:r>
          </w:p>
        </w:tc>
        <w:tc>
          <w:tcPr>
            <w:tcW w:w="325" w:type="pct"/>
            <w:noWrap/>
            <w:vAlign w:val="center"/>
            <w:hideMark/>
          </w:tcPr>
          <w:p w14:paraId="3077D19B" w14:textId="4278025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5.9%</w:t>
            </w:r>
          </w:p>
        </w:tc>
        <w:tc>
          <w:tcPr>
            <w:tcW w:w="359" w:type="pct"/>
            <w:noWrap/>
            <w:vAlign w:val="center"/>
            <w:hideMark/>
          </w:tcPr>
          <w:p w14:paraId="7FB0E233" w14:textId="6AFA5C1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3.2%</w:t>
            </w:r>
          </w:p>
        </w:tc>
        <w:tc>
          <w:tcPr>
            <w:tcW w:w="342" w:type="pct"/>
            <w:noWrap/>
            <w:vAlign w:val="center"/>
            <w:hideMark/>
          </w:tcPr>
          <w:p w14:paraId="3FE2B5E3" w14:textId="5FC6FD9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3.8%</w:t>
            </w:r>
          </w:p>
        </w:tc>
        <w:tc>
          <w:tcPr>
            <w:tcW w:w="345" w:type="pct"/>
            <w:noWrap/>
            <w:vAlign w:val="center"/>
            <w:hideMark/>
          </w:tcPr>
          <w:p w14:paraId="7768ACF0" w14:textId="154FCD5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5.7%</w:t>
            </w:r>
          </w:p>
        </w:tc>
      </w:tr>
      <w:tr w:rsidR="00F77277" w:rsidRPr="00B969E5" w14:paraId="5AE36508" w14:textId="77777777" w:rsidTr="00F77277">
        <w:trPr>
          <w:trHeight w:val="283"/>
        </w:trPr>
        <w:tc>
          <w:tcPr>
            <w:tcW w:w="1317" w:type="pct"/>
            <w:noWrap/>
            <w:hideMark/>
          </w:tcPr>
          <w:p w14:paraId="1BD77F38"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equities - Micro caps</w:t>
            </w:r>
          </w:p>
        </w:tc>
        <w:tc>
          <w:tcPr>
            <w:tcW w:w="417" w:type="pct"/>
            <w:noWrap/>
            <w:vAlign w:val="center"/>
            <w:hideMark/>
          </w:tcPr>
          <w:p w14:paraId="35384D07" w14:textId="5B9E762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1.3%</w:t>
            </w:r>
          </w:p>
        </w:tc>
        <w:tc>
          <w:tcPr>
            <w:tcW w:w="378" w:type="pct"/>
            <w:noWrap/>
            <w:vAlign w:val="center"/>
            <w:hideMark/>
          </w:tcPr>
          <w:p w14:paraId="4BEFDC89" w14:textId="299F1E82"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15.0%</w:t>
            </w:r>
          </w:p>
        </w:tc>
        <w:tc>
          <w:tcPr>
            <w:tcW w:w="400" w:type="pct"/>
            <w:noWrap/>
            <w:vAlign w:val="center"/>
            <w:hideMark/>
          </w:tcPr>
          <w:p w14:paraId="4BEC4930" w14:textId="4B361036"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41.5%</w:t>
            </w:r>
          </w:p>
        </w:tc>
        <w:tc>
          <w:tcPr>
            <w:tcW w:w="404" w:type="pct"/>
            <w:noWrap/>
            <w:vAlign w:val="center"/>
            <w:hideMark/>
          </w:tcPr>
          <w:p w14:paraId="42C092F9" w14:textId="738085A8"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6.4%</w:t>
            </w:r>
          </w:p>
        </w:tc>
        <w:tc>
          <w:tcPr>
            <w:tcW w:w="367" w:type="pct"/>
            <w:noWrap/>
            <w:vAlign w:val="center"/>
            <w:hideMark/>
          </w:tcPr>
          <w:p w14:paraId="70D340CE" w14:textId="6FDE13F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8.3%</w:t>
            </w:r>
          </w:p>
        </w:tc>
        <w:tc>
          <w:tcPr>
            <w:tcW w:w="345" w:type="pct"/>
            <w:noWrap/>
            <w:vAlign w:val="center"/>
            <w:hideMark/>
          </w:tcPr>
          <w:p w14:paraId="736A23AE" w14:textId="0100BF4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10.6%</w:t>
            </w:r>
          </w:p>
        </w:tc>
        <w:tc>
          <w:tcPr>
            <w:tcW w:w="325" w:type="pct"/>
            <w:noWrap/>
            <w:vAlign w:val="center"/>
            <w:hideMark/>
          </w:tcPr>
          <w:p w14:paraId="49E7CC5C" w14:textId="1849B09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6.6%</w:t>
            </w:r>
          </w:p>
        </w:tc>
        <w:tc>
          <w:tcPr>
            <w:tcW w:w="359" w:type="pct"/>
            <w:noWrap/>
            <w:vAlign w:val="center"/>
            <w:hideMark/>
          </w:tcPr>
          <w:p w14:paraId="5C97D2E4" w14:textId="75DED271"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1.4%</w:t>
            </w:r>
          </w:p>
        </w:tc>
        <w:tc>
          <w:tcPr>
            <w:tcW w:w="342" w:type="pct"/>
            <w:noWrap/>
            <w:vAlign w:val="center"/>
            <w:hideMark/>
          </w:tcPr>
          <w:p w14:paraId="47825D21" w14:textId="223F1AD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4.3%</w:t>
            </w:r>
          </w:p>
        </w:tc>
        <w:tc>
          <w:tcPr>
            <w:tcW w:w="345" w:type="pct"/>
            <w:noWrap/>
            <w:vAlign w:val="center"/>
            <w:hideMark/>
          </w:tcPr>
          <w:p w14:paraId="6F3B8ED5" w14:textId="116B0F10"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49C7D87F"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60A7D439"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International equities</w:t>
            </w:r>
          </w:p>
        </w:tc>
        <w:tc>
          <w:tcPr>
            <w:tcW w:w="417" w:type="pct"/>
            <w:noWrap/>
            <w:vAlign w:val="center"/>
            <w:hideMark/>
          </w:tcPr>
          <w:p w14:paraId="21857343" w14:textId="144F315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-1.1%</w:t>
            </w:r>
          </w:p>
        </w:tc>
        <w:tc>
          <w:tcPr>
            <w:tcW w:w="378" w:type="pct"/>
            <w:noWrap/>
            <w:vAlign w:val="center"/>
            <w:hideMark/>
          </w:tcPr>
          <w:p w14:paraId="17A3A20A" w14:textId="5E25C4F8"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2.0%</w:t>
            </w:r>
          </w:p>
        </w:tc>
        <w:tc>
          <w:tcPr>
            <w:tcW w:w="400" w:type="pct"/>
            <w:noWrap/>
            <w:vAlign w:val="center"/>
            <w:hideMark/>
          </w:tcPr>
          <w:p w14:paraId="7B8C2528" w14:textId="764D4DC6"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4.9%</w:t>
            </w:r>
          </w:p>
        </w:tc>
        <w:tc>
          <w:tcPr>
            <w:tcW w:w="404" w:type="pct"/>
            <w:noWrap/>
            <w:vAlign w:val="center"/>
            <w:hideMark/>
          </w:tcPr>
          <w:p w14:paraId="4A7A7354" w14:textId="32E7A63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2.7%</w:t>
            </w:r>
          </w:p>
        </w:tc>
        <w:tc>
          <w:tcPr>
            <w:tcW w:w="367" w:type="pct"/>
            <w:noWrap/>
            <w:vAlign w:val="center"/>
            <w:hideMark/>
          </w:tcPr>
          <w:p w14:paraId="56A74AD6" w14:textId="0DE2858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9.2%</w:t>
            </w:r>
          </w:p>
        </w:tc>
        <w:tc>
          <w:tcPr>
            <w:tcW w:w="345" w:type="pct"/>
            <w:noWrap/>
            <w:vAlign w:val="center"/>
            <w:hideMark/>
          </w:tcPr>
          <w:p w14:paraId="6AEECE1A" w14:textId="38BE543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8.5%</w:t>
            </w:r>
          </w:p>
        </w:tc>
        <w:tc>
          <w:tcPr>
            <w:tcW w:w="325" w:type="pct"/>
            <w:noWrap/>
            <w:vAlign w:val="center"/>
            <w:hideMark/>
          </w:tcPr>
          <w:p w14:paraId="6665BDE5" w14:textId="7D36184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12.1%</w:t>
            </w:r>
          </w:p>
        </w:tc>
        <w:tc>
          <w:tcPr>
            <w:tcW w:w="359" w:type="pct"/>
            <w:noWrap/>
            <w:vAlign w:val="center"/>
            <w:hideMark/>
          </w:tcPr>
          <w:p w14:paraId="6832DD2B" w14:textId="4B26FA4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12.5%</w:t>
            </w:r>
          </w:p>
        </w:tc>
        <w:tc>
          <w:tcPr>
            <w:tcW w:w="342" w:type="pct"/>
            <w:noWrap/>
            <w:vAlign w:val="center"/>
            <w:hideMark/>
          </w:tcPr>
          <w:p w14:paraId="025BB8CE" w14:textId="474679D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7.0%</w:t>
            </w:r>
          </w:p>
        </w:tc>
        <w:tc>
          <w:tcPr>
            <w:tcW w:w="345" w:type="pct"/>
            <w:noWrap/>
            <w:vAlign w:val="center"/>
            <w:hideMark/>
          </w:tcPr>
          <w:p w14:paraId="13CD65D2" w14:textId="78BEBBFE"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3.3%</w:t>
            </w:r>
          </w:p>
        </w:tc>
      </w:tr>
      <w:tr w:rsidR="00F77277" w:rsidRPr="00B969E5" w14:paraId="692D68E0" w14:textId="77777777" w:rsidTr="00F77277">
        <w:trPr>
          <w:trHeight w:val="283"/>
        </w:trPr>
        <w:tc>
          <w:tcPr>
            <w:tcW w:w="1317" w:type="pct"/>
            <w:noWrap/>
            <w:hideMark/>
          </w:tcPr>
          <w:p w14:paraId="12C95B41"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International equities (Hedged)</w:t>
            </w:r>
          </w:p>
        </w:tc>
        <w:tc>
          <w:tcPr>
            <w:tcW w:w="417" w:type="pct"/>
            <w:noWrap/>
            <w:vAlign w:val="center"/>
            <w:hideMark/>
          </w:tcPr>
          <w:p w14:paraId="51BE7B4B" w14:textId="338B40B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-3.2%</w:t>
            </w:r>
          </w:p>
        </w:tc>
        <w:tc>
          <w:tcPr>
            <w:tcW w:w="378" w:type="pct"/>
            <w:noWrap/>
            <w:vAlign w:val="center"/>
            <w:hideMark/>
          </w:tcPr>
          <w:p w14:paraId="138CCC4F" w14:textId="527B2D32"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-0.3%</w:t>
            </w:r>
          </w:p>
        </w:tc>
        <w:tc>
          <w:tcPr>
            <w:tcW w:w="400" w:type="pct"/>
            <w:noWrap/>
            <w:vAlign w:val="center"/>
            <w:hideMark/>
          </w:tcPr>
          <w:p w14:paraId="1B86A0EF" w14:textId="3DA9A553"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10.4%</w:t>
            </w:r>
          </w:p>
        </w:tc>
        <w:tc>
          <w:tcPr>
            <w:tcW w:w="404" w:type="pct"/>
            <w:noWrap/>
            <w:vAlign w:val="center"/>
            <w:hideMark/>
          </w:tcPr>
          <w:p w14:paraId="16D8A713" w14:textId="791F09B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1.1%</w:t>
            </w:r>
          </w:p>
        </w:tc>
        <w:tc>
          <w:tcPr>
            <w:tcW w:w="367" w:type="pct"/>
            <w:noWrap/>
            <w:vAlign w:val="center"/>
            <w:hideMark/>
          </w:tcPr>
          <w:p w14:paraId="108E4ADD" w14:textId="4143929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4.9%</w:t>
            </w:r>
          </w:p>
        </w:tc>
        <w:tc>
          <w:tcPr>
            <w:tcW w:w="345" w:type="pct"/>
            <w:noWrap/>
            <w:vAlign w:val="center"/>
            <w:hideMark/>
          </w:tcPr>
          <w:p w14:paraId="3DDAB449" w14:textId="3AEFBFC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8.0%</w:t>
            </w:r>
          </w:p>
        </w:tc>
        <w:tc>
          <w:tcPr>
            <w:tcW w:w="325" w:type="pct"/>
            <w:noWrap/>
            <w:vAlign w:val="center"/>
            <w:hideMark/>
          </w:tcPr>
          <w:p w14:paraId="0A43309C" w14:textId="7F97C32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9.0%</w:t>
            </w:r>
          </w:p>
        </w:tc>
        <w:tc>
          <w:tcPr>
            <w:tcW w:w="359" w:type="pct"/>
            <w:noWrap/>
            <w:vAlign w:val="center"/>
            <w:hideMark/>
          </w:tcPr>
          <w:p w14:paraId="4EAC8D37" w14:textId="02D80C6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11.0%</w:t>
            </w:r>
          </w:p>
        </w:tc>
        <w:tc>
          <w:tcPr>
            <w:tcW w:w="342" w:type="pct"/>
            <w:noWrap/>
            <w:vAlign w:val="center"/>
            <w:hideMark/>
          </w:tcPr>
          <w:p w14:paraId="4CB247D4" w14:textId="5DD7DFC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7.9%</w:t>
            </w:r>
          </w:p>
        </w:tc>
        <w:tc>
          <w:tcPr>
            <w:tcW w:w="345" w:type="pct"/>
            <w:noWrap/>
            <w:vAlign w:val="center"/>
            <w:hideMark/>
          </w:tcPr>
          <w:p w14:paraId="6E7A697A" w14:textId="42602D4D"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0B1D946D"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0E1D4773"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International equities - Small caps</w:t>
            </w:r>
          </w:p>
        </w:tc>
        <w:tc>
          <w:tcPr>
            <w:tcW w:w="417" w:type="pct"/>
            <w:noWrap/>
            <w:vAlign w:val="center"/>
            <w:hideMark/>
          </w:tcPr>
          <w:p w14:paraId="144AB3BD" w14:textId="4578D21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2.1%</w:t>
            </w:r>
          </w:p>
        </w:tc>
        <w:tc>
          <w:tcPr>
            <w:tcW w:w="378" w:type="pct"/>
            <w:noWrap/>
            <w:vAlign w:val="center"/>
            <w:hideMark/>
          </w:tcPr>
          <w:p w14:paraId="10DE0C8A" w14:textId="41105FD4"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5.3%</w:t>
            </w:r>
          </w:p>
        </w:tc>
        <w:tc>
          <w:tcPr>
            <w:tcW w:w="400" w:type="pct"/>
            <w:noWrap/>
            <w:vAlign w:val="center"/>
            <w:hideMark/>
          </w:tcPr>
          <w:p w14:paraId="3193CA6C" w14:textId="275E9A06"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9.7%</w:t>
            </w:r>
          </w:p>
        </w:tc>
        <w:tc>
          <w:tcPr>
            <w:tcW w:w="404" w:type="pct"/>
            <w:noWrap/>
            <w:vAlign w:val="center"/>
            <w:hideMark/>
          </w:tcPr>
          <w:p w14:paraId="0DC9653B" w14:textId="1F8E069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-1.9%</w:t>
            </w:r>
          </w:p>
        </w:tc>
        <w:tc>
          <w:tcPr>
            <w:tcW w:w="367" w:type="pct"/>
            <w:noWrap/>
            <w:vAlign w:val="center"/>
            <w:hideMark/>
          </w:tcPr>
          <w:p w14:paraId="023D53AA" w14:textId="7423AC4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4.8%</w:t>
            </w:r>
          </w:p>
        </w:tc>
        <w:tc>
          <w:tcPr>
            <w:tcW w:w="345" w:type="pct"/>
            <w:noWrap/>
            <w:vAlign w:val="center"/>
            <w:hideMark/>
          </w:tcPr>
          <w:p w14:paraId="05BF6253" w14:textId="2F82F5C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7.1%</w:t>
            </w:r>
          </w:p>
        </w:tc>
        <w:tc>
          <w:tcPr>
            <w:tcW w:w="325" w:type="pct"/>
            <w:noWrap/>
            <w:vAlign w:val="center"/>
            <w:hideMark/>
          </w:tcPr>
          <w:p w14:paraId="1A2BBB29" w14:textId="7543A551"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10.5%</w:t>
            </w:r>
          </w:p>
        </w:tc>
        <w:tc>
          <w:tcPr>
            <w:tcW w:w="359" w:type="pct"/>
            <w:noWrap/>
            <w:vAlign w:val="center"/>
            <w:hideMark/>
          </w:tcPr>
          <w:p w14:paraId="1AB7D66D" w14:textId="4B945FC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12.0%</w:t>
            </w:r>
          </w:p>
        </w:tc>
        <w:tc>
          <w:tcPr>
            <w:tcW w:w="342" w:type="pct"/>
            <w:noWrap/>
            <w:vAlign w:val="center"/>
            <w:hideMark/>
          </w:tcPr>
          <w:p w14:paraId="19A9C338" w14:textId="6A9A5FB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7.4%</w:t>
            </w:r>
          </w:p>
        </w:tc>
        <w:tc>
          <w:tcPr>
            <w:tcW w:w="345" w:type="pct"/>
            <w:noWrap/>
            <w:vAlign w:val="center"/>
            <w:hideMark/>
          </w:tcPr>
          <w:p w14:paraId="20B2EC3D" w14:textId="0CFDE4A0"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6.5%</w:t>
            </w:r>
          </w:p>
        </w:tc>
      </w:tr>
      <w:tr w:rsidR="00F77277" w:rsidRPr="00B969E5" w14:paraId="4A15DE38" w14:textId="77777777" w:rsidTr="00F77277">
        <w:trPr>
          <w:trHeight w:val="283"/>
        </w:trPr>
        <w:tc>
          <w:tcPr>
            <w:tcW w:w="1317" w:type="pct"/>
            <w:noWrap/>
            <w:hideMark/>
          </w:tcPr>
          <w:p w14:paraId="08D3D488"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Emerging Markets equities</w:t>
            </w:r>
          </w:p>
        </w:tc>
        <w:tc>
          <w:tcPr>
            <w:tcW w:w="417" w:type="pct"/>
            <w:noWrap/>
            <w:vAlign w:val="center"/>
            <w:hideMark/>
          </w:tcPr>
          <w:p w14:paraId="418D26B5" w14:textId="2CF2BE89"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4.2%</w:t>
            </w:r>
          </w:p>
        </w:tc>
        <w:tc>
          <w:tcPr>
            <w:tcW w:w="378" w:type="pct"/>
            <w:noWrap/>
            <w:vAlign w:val="center"/>
            <w:hideMark/>
          </w:tcPr>
          <w:p w14:paraId="5F12BFE9" w14:textId="2DA1932F"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4.8%</w:t>
            </w:r>
          </w:p>
        </w:tc>
        <w:tc>
          <w:tcPr>
            <w:tcW w:w="400" w:type="pct"/>
            <w:noWrap/>
            <w:vAlign w:val="center"/>
            <w:hideMark/>
          </w:tcPr>
          <w:p w14:paraId="6D59412E" w14:textId="2E6EAFA6"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12.8%</w:t>
            </w:r>
          </w:p>
        </w:tc>
        <w:tc>
          <w:tcPr>
            <w:tcW w:w="404" w:type="pct"/>
            <w:noWrap/>
            <w:vAlign w:val="center"/>
            <w:hideMark/>
          </w:tcPr>
          <w:p w14:paraId="1426855D" w14:textId="4C21B145"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6.2%</w:t>
            </w:r>
          </w:p>
        </w:tc>
        <w:tc>
          <w:tcPr>
            <w:tcW w:w="367" w:type="pct"/>
            <w:noWrap/>
            <w:vAlign w:val="center"/>
            <w:hideMark/>
          </w:tcPr>
          <w:p w14:paraId="24D6F9CF" w14:textId="1C01DAB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5.0%</w:t>
            </w:r>
          </w:p>
        </w:tc>
        <w:tc>
          <w:tcPr>
            <w:tcW w:w="345" w:type="pct"/>
            <w:noWrap/>
            <w:vAlign w:val="center"/>
            <w:hideMark/>
          </w:tcPr>
          <w:p w14:paraId="663A3671" w14:textId="1C3EA9E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8.3%</w:t>
            </w:r>
          </w:p>
        </w:tc>
        <w:tc>
          <w:tcPr>
            <w:tcW w:w="325" w:type="pct"/>
            <w:noWrap/>
            <w:vAlign w:val="center"/>
            <w:hideMark/>
          </w:tcPr>
          <w:p w14:paraId="62476863" w14:textId="1362129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7.9%</w:t>
            </w:r>
          </w:p>
        </w:tc>
        <w:tc>
          <w:tcPr>
            <w:tcW w:w="359" w:type="pct"/>
            <w:noWrap/>
            <w:vAlign w:val="center"/>
            <w:hideMark/>
          </w:tcPr>
          <w:p w14:paraId="687C87E9" w14:textId="479C3BE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5.9%</w:t>
            </w:r>
          </w:p>
        </w:tc>
        <w:tc>
          <w:tcPr>
            <w:tcW w:w="342" w:type="pct"/>
            <w:noWrap/>
            <w:vAlign w:val="center"/>
            <w:hideMark/>
          </w:tcPr>
          <w:p w14:paraId="0C76EFB5" w14:textId="22AF341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6.9%</w:t>
            </w:r>
          </w:p>
        </w:tc>
        <w:tc>
          <w:tcPr>
            <w:tcW w:w="345" w:type="pct"/>
            <w:noWrap/>
            <w:vAlign w:val="center"/>
            <w:hideMark/>
          </w:tcPr>
          <w:p w14:paraId="49D6A21C" w14:textId="21EFAEB8"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48C6191C"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43FAE036"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REITs</w:t>
            </w:r>
          </w:p>
        </w:tc>
        <w:tc>
          <w:tcPr>
            <w:tcW w:w="417" w:type="pct"/>
            <w:noWrap/>
            <w:vAlign w:val="center"/>
            <w:hideMark/>
          </w:tcPr>
          <w:p w14:paraId="0A78579B" w14:textId="610B81B2"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-0.4%</w:t>
            </w:r>
          </w:p>
        </w:tc>
        <w:tc>
          <w:tcPr>
            <w:tcW w:w="378" w:type="pct"/>
            <w:noWrap/>
            <w:vAlign w:val="center"/>
            <w:hideMark/>
          </w:tcPr>
          <w:p w14:paraId="45C57C92" w14:textId="49374B6A"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5.9%</w:t>
            </w:r>
          </w:p>
        </w:tc>
        <w:tc>
          <w:tcPr>
            <w:tcW w:w="400" w:type="pct"/>
            <w:noWrap/>
            <w:vAlign w:val="center"/>
            <w:hideMark/>
          </w:tcPr>
          <w:p w14:paraId="4448CDC6" w14:textId="79E29208"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12.4%</w:t>
            </w:r>
          </w:p>
        </w:tc>
        <w:tc>
          <w:tcPr>
            <w:tcW w:w="404" w:type="pct"/>
            <w:noWrap/>
            <w:vAlign w:val="center"/>
            <w:hideMark/>
          </w:tcPr>
          <w:p w14:paraId="380AEB83" w14:textId="6E4131F5"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-18.0%</w:t>
            </w:r>
          </w:p>
        </w:tc>
        <w:tc>
          <w:tcPr>
            <w:tcW w:w="367" w:type="pct"/>
            <w:noWrap/>
            <w:vAlign w:val="center"/>
            <w:hideMark/>
          </w:tcPr>
          <w:p w14:paraId="15F9DE7A" w14:textId="1D9F631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2.8%</w:t>
            </w:r>
          </w:p>
        </w:tc>
        <w:tc>
          <w:tcPr>
            <w:tcW w:w="345" w:type="pct"/>
            <w:noWrap/>
            <w:vAlign w:val="center"/>
            <w:hideMark/>
          </w:tcPr>
          <w:p w14:paraId="2DD8B8A7" w14:textId="39B9E98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4.5%</w:t>
            </w:r>
          </w:p>
        </w:tc>
        <w:tc>
          <w:tcPr>
            <w:tcW w:w="325" w:type="pct"/>
            <w:noWrap/>
            <w:vAlign w:val="center"/>
            <w:hideMark/>
          </w:tcPr>
          <w:p w14:paraId="6E309956" w14:textId="793CA68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8.0%</w:t>
            </w:r>
          </w:p>
        </w:tc>
        <w:tc>
          <w:tcPr>
            <w:tcW w:w="359" w:type="pct"/>
            <w:noWrap/>
            <w:vAlign w:val="center"/>
            <w:hideMark/>
          </w:tcPr>
          <w:p w14:paraId="59775AB2" w14:textId="16DD0F5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9.6%</w:t>
            </w:r>
          </w:p>
        </w:tc>
        <w:tc>
          <w:tcPr>
            <w:tcW w:w="342" w:type="pct"/>
            <w:noWrap/>
            <w:vAlign w:val="center"/>
            <w:hideMark/>
          </w:tcPr>
          <w:p w14:paraId="52DF5294" w14:textId="46E0B1B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3.4%</w:t>
            </w:r>
          </w:p>
        </w:tc>
        <w:tc>
          <w:tcPr>
            <w:tcW w:w="345" w:type="pct"/>
            <w:noWrap/>
            <w:vAlign w:val="center"/>
            <w:hideMark/>
          </w:tcPr>
          <w:p w14:paraId="5C6FD187" w14:textId="109D2442"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B050"/>
                <w:sz w:val="16"/>
                <w:szCs w:val="16"/>
              </w:rPr>
              <w:t>6.3%</w:t>
            </w:r>
          </w:p>
        </w:tc>
      </w:tr>
      <w:tr w:rsidR="00F77277" w:rsidRPr="00B969E5" w14:paraId="66519EF3" w14:textId="77777777" w:rsidTr="00F77277">
        <w:trPr>
          <w:trHeight w:val="283"/>
        </w:trPr>
        <w:tc>
          <w:tcPr>
            <w:tcW w:w="1317" w:type="pct"/>
            <w:noWrap/>
            <w:hideMark/>
          </w:tcPr>
          <w:p w14:paraId="72BE24AE"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REITs</w:t>
            </w:r>
          </w:p>
        </w:tc>
        <w:tc>
          <w:tcPr>
            <w:tcW w:w="417" w:type="pct"/>
            <w:noWrap/>
            <w:vAlign w:val="center"/>
            <w:hideMark/>
          </w:tcPr>
          <w:p w14:paraId="03921B6E" w14:textId="3986DDBC"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-1.3%</w:t>
            </w:r>
          </w:p>
        </w:tc>
        <w:tc>
          <w:tcPr>
            <w:tcW w:w="378" w:type="pct"/>
            <w:noWrap/>
            <w:vAlign w:val="center"/>
            <w:hideMark/>
          </w:tcPr>
          <w:p w14:paraId="1732F3F3" w14:textId="2BED25CA"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-1.9%</w:t>
            </w:r>
          </w:p>
        </w:tc>
        <w:tc>
          <w:tcPr>
            <w:tcW w:w="400" w:type="pct"/>
            <w:noWrap/>
            <w:vAlign w:val="center"/>
            <w:hideMark/>
          </w:tcPr>
          <w:p w14:paraId="18C57278" w14:textId="0A58C95A"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-5.4%</w:t>
            </w:r>
          </w:p>
        </w:tc>
        <w:tc>
          <w:tcPr>
            <w:tcW w:w="404" w:type="pct"/>
            <w:noWrap/>
            <w:vAlign w:val="center"/>
            <w:hideMark/>
          </w:tcPr>
          <w:p w14:paraId="69C51A1E" w14:textId="7A1C674A"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-24.4%</w:t>
            </w:r>
          </w:p>
        </w:tc>
        <w:tc>
          <w:tcPr>
            <w:tcW w:w="367" w:type="pct"/>
            <w:noWrap/>
            <w:vAlign w:val="center"/>
            <w:hideMark/>
          </w:tcPr>
          <w:p w14:paraId="4987D766" w14:textId="38B1CAC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0.5%</w:t>
            </w:r>
          </w:p>
        </w:tc>
        <w:tc>
          <w:tcPr>
            <w:tcW w:w="345" w:type="pct"/>
            <w:noWrap/>
            <w:vAlign w:val="center"/>
            <w:hideMark/>
          </w:tcPr>
          <w:p w14:paraId="7B5F5079" w14:textId="7587B43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0.5%</w:t>
            </w:r>
          </w:p>
        </w:tc>
        <w:tc>
          <w:tcPr>
            <w:tcW w:w="325" w:type="pct"/>
            <w:noWrap/>
            <w:vAlign w:val="center"/>
            <w:hideMark/>
          </w:tcPr>
          <w:p w14:paraId="129F2BCB" w14:textId="3C9A856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6.2%</w:t>
            </w:r>
          </w:p>
        </w:tc>
        <w:tc>
          <w:tcPr>
            <w:tcW w:w="359" w:type="pct"/>
            <w:noWrap/>
            <w:vAlign w:val="center"/>
            <w:hideMark/>
          </w:tcPr>
          <w:p w14:paraId="7F5FCBB5" w14:textId="7205CF8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7.5%</w:t>
            </w:r>
          </w:p>
        </w:tc>
        <w:tc>
          <w:tcPr>
            <w:tcW w:w="342" w:type="pct"/>
            <w:noWrap/>
            <w:vAlign w:val="center"/>
            <w:hideMark/>
          </w:tcPr>
          <w:p w14:paraId="1916CB1A" w14:textId="3BF8FF0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4.2%</w:t>
            </w:r>
          </w:p>
        </w:tc>
        <w:tc>
          <w:tcPr>
            <w:tcW w:w="345" w:type="pct"/>
            <w:noWrap/>
            <w:vAlign w:val="center"/>
            <w:hideMark/>
          </w:tcPr>
          <w:p w14:paraId="1A7A7119" w14:textId="35ABAC10"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09983A5B"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644BCC6E"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REITs (Hedged)</w:t>
            </w:r>
          </w:p>
        </w:tc>
        <w:tc>
          <w:tcPr>
            <w:tcW w:w="417" w:type="pct"/>
            <w:noWrap/>
            <w:vAlign w:val="center"/>
            <w:hideMark/>
          </w:tcPr>
          <w:p w14:paraId="4AEE9757" w14:textId="65CA8A2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-3.4%</w:t>
            </w:r>
          </w:p>
        </w:tc>
        <w:tc>
          <w:tcPr>
            <w:tcW w:w="378" w:type="pct"/>
            <w:noWrap/>
            <w:vAlign w:val="center"/>
            <w:hideMark/>
          </w:tcPr>
          <w:p w14:paraId="3E30B65A" w14:textId="7E041750"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-4.0%</w:t>
            </w:r>
          </w:p>
        </w:tc>
        <w:tc>
          <w:tcPr>
            <w:tcW w:w="400" w:type="pct"/>
            <w:noWrap/>
            <w:vAlign w:val="center"/>
            <w:hideMark/>
          </w:tcPr>
          <w:p w14:paraId="6DD07B0D" w14:textId="49CA04ED"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-0.5%</w:t>
            </w:r>
          </w:p>
        </w:tc>
        <w:tc>
          <w:tcPr>
            <w:tcW w:w="404" w:type="pct"/>
            <w:noWrap/>
            <w:vAlign w:val="center"/>
            <w:hideMark/>
          </w:tcPr>
          <w:p w14:paraId="720D9230" w14:textId="3C831A71"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-25.5%</w:t>
            </w:r>
          </w:p>
        </w:tc>
        <w:tc>
          <w:tcPr>
            <w:tcW w:w="367" w:type="pct"/>
            <w:noWrap/>
            <w:vAlign w:val="center"/>
            <w:hideMark/>
          </w:tcPr>
          <w:p w14:paraId="0DAE2E02" w14:textId="150E404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-3.2%</w:t>
            </w:r>
          </w:p>
        </w:tc>
        <w:tc>
          <w:tcPr>
            <w:tcW w:w="345" w:type="pct"/>
            <w:noWrap/>
            <w:vAlign w:val="center"/>
            <w:hideMark/>
          </w:tcPr>
          <w:p w14:paraId="6E27ABDC" w14:textId="37E8F85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0.0%</w:t>
            </w:r>
          </w:p>
        </w:tc>
        <w:tc>
          <w:tcPr>
            <w:tcW w:w="325" w:type="pct"/>
            <w:noWrap/>
            <w:vAlign w:val="center"/>
            <w:hideMark/>
          </w:tcPr>
          <w:p w14:paraId="02F90C6A" w14:textId="524CA9C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3.3%</w:t>
            </w:r>
          </w:p>
        </w:tc>
        <w:tc>
          <w:tcPr>
            <w:tcW w:w="359" w:type="pct"/>
            <w:noWrap/>
            <w:vAlign w:val="center"/>
            <w:hideMark/>
          </w:tcPr>
          <w:p w14:paraId="275DEACB" w14:textId="317FABA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6.0%</w:t>
            </w:r>
          </w:p>
        </w:tc>
        <w:tc>
          <w:tcPr>
            <w:tcW w:w="342" w:type="pct"/>
            <w:noWrap/>
            <w:vAlign w:val="center"/>
            <w:hideMark/>
          </w:tcPr>
          <w:p w14:paraId="59052EA3" w14:textId="47A2524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4.5%</w:t>
            </w:r>
          </w:p>
        </w:tc>
        <w:tc>
          <w:tcPr>
            <w:tcW w:w="345" w:type="pct"/>
            <w:noWrap/>
            <w:vAlign w:val="center"/>
            <w:hideMark/>
          </w:tcPr>
          <w:p w14:paraId="36DAF93C" w14:textId="52327334"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724F34FA" w14:textId="77777777" w:rsidTr="00F77277">
        <w:trPr>
          <w:trHeight w:val="283"/>
        </w:trPr>
        <w:tc>
          <w:tcPr>
            <w:tcW w:w="1317" w:type="pct"/>
            <w:noWrap/>
            <w:hideMark/>
          </w:tcPr>
          <w:p w14:paraId="30037A72"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Infrastructure</w:t>
            </w:r>
          </w:p>
        </w:tc>
        <w:tc>
          <w:tcPr>
            <w:tcW w:w="417" w:type="pct"/>
            <w:noWrap/>
            <w:vAlign w:val="center"/>
            <w:hideMark/>
          </w:tcPr>
          <w:p w14:paraId="107D2289" w14:textId="17CE733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1.4%</w:t>
            </w:r>
          </w:p>
        </w:tc>
        <w:tc>
          <w:tcPr>
            <w:tcW w:w="378" w:type="pct"/>
            <w:noWrap/>
            <w:vAlign w:val="center"/>
            <w:hideMark/>
          </w:tcPr>
          <w:p w14:paraId="2BA2A14F" w14:textId="259C9387"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0.5%</w:t>
            </w:r>
          </w:p>
        </w:tc>
        <w:tc>
          <w:tcPr>
            <w:tcW w:w="400" w:type="pct"/>
            <w:noWrap/>
            <w:vAlign w:val="center"/>
            <w:hideMark/>
          </w:tcPr>
          <w:p w14:paraId="19132EBD" w14:textId="284BD0B2"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-3.6%</w:t>
            </w:r>
          </w:p>
        </w:tc>
        <w:tc>
          <w:tcPr>
            <w:tcW w:w="404" w:type="pct"/>
            <w:noWrap/>
            <w:vAlign w:val="center"/>
            <w:hideMark/>
          </w:tcPr>
          <w:p w14:paraId="0FF4D6BD" w14:textId="1F515FC0" w:rsidR="00F77277" w:rsidRPr="0087273B"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-11.4%</w:t>
            </w:r>
          </w:p>
        </w:tc>
        <w:tc>
          <w:tcPr>
            <w:tcW w:w="367" w:type="pct"/>
            <w:noWrap/>
            <w:vAlign w:val="center"/>
            <w:hideMark/>
          </w:tcPr>
          <w:p w14:paraId="3EDECE7A" w14:textId="30EB97A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5.0%</w:t>
            </w:r>
          </w:p>
        </w:tc>
        <w:tc>
          <w:tcPr>
            <w:tcW w:w="345" w:type="pct"/>
            <w:noWrap/>
            <w:vAlign w:val="center"/>
            <w:hideMark/>
          </w:tcPr>
          <w:p w14:paraId="04A3F28B" w14:textId="1324EF1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6.0%</w:t>
            </w:r>
          </w:p>
        </w:tc>
        <w:tc>
          <w:tcPr>
            <w:tcW w:w="325" w:type="pct"/>
            <w:noWrap/>
            <w:vAlign w:val="center"/>
            <w:hideMark/>
          </w:tcPr>
          <w:p w14:paraId="209C7845" w14:textId="188164D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10.0%</w:t>
            </w:r>
          </w:p>
        </w:tc>
        <w:tc>
          <w:tcPr>
            <w:tcW w:w="359" w:type="pct"/>
            <w:noWrap/>
            <w:vAlign w:val="center"/>
            <w:hideMark/>
          </w:tcPr>
          <w:p w14:paraId="2DBEA444" w14:textId="112A856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10.9%</w:t>
            </w:r>
          </w:p>
        </w:tc>
        <w:tc>
          <w:tcPr>
            <w:tcW w:w="342" w:type="pct"/>
            <w:noWrap/>
            <w:vAlign w:val="center"/>
            <w:hideMark/>
          </w:tcPr>
          <w:p w14:paraId="05B09D33" w14:textId="45A62F85"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c>
          <w:tcPr>
            <w:tcW w:w="345" w:type="pct"/>
            <w:noWrap/>
            <w:vAlign w:val="center"/>
            <w:hideMark/>
          </w:tcPr>
          <w:p w14:paraId="638B4E7E" w14:textId="46F5C6E4"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46497818"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63B048AA"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Infrastructure (Hedged)</w:t>
            </w:r>
          </w:p>
        </w:tc>
        <w:tc>
          <w:tcPr>
            <w:tcW w:w="417" w:type="pct"/>
            <w:noWrap/>
            <w:vAlign w:val="center"/>
            <w:hideMark/>
          </w:tcPr>
          <w:p w14:paraId="7CE086AF" w14:textId="58C8A98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-0.6%</w:t>
            </w:r>
          </w:p>
        </w:tc>
        <w:tc>
          <w:tcPr>
            <w:tcW w:w="378" w:type="pct"/>
            <w:noWrap/>
            <w:vAlign w:val="center"/>
            <w:hideMark/>
          </w:tcPr>
          <w:p w14:paraId="4C9BDB1D" w14:textId="2A665B73"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FF0000"/>
                <w:sz w:val="16"/>
                <w:szCs w:val="16"/>
              </w:rPr>
              <w:t>-1.2%</w:t>
            </w:r>
          </w:p>
        </w:tc>
        <w:tc>
          <w:tcPr>
            <w:tcW w:w="400" w:type="pct"/>
            <w:noWrap/>
            <w:vAlign w:val="center"/>
            <w:hideMark/>
          </w:tcPr>
          <w:p w14:paraId="1231C4F9" w14:textId="29137D3B" w:rsidR="00F77277" w:rsidRPr="003D56F7" w:rsidRDefault="00F77277" w:rsidP="00F77277">
            <w:pPr>
              <w:pStyle w:val="TableText"/>
              <w:jc w:val="center"/>
              <w:rPr>
                <w:rFonts w:ascii="Arial" w:hAnsi="Arial" w:cs="Arial"/>
                <w:b/>
                <w:bCs/>
                <w:color w:val="FF0000"/>
                <w:sz w:val="16"/>
                <w:szCs w:val="16"/>
              </w:rPr>
            </w:pPr>
            <w:r>
              <w:rPr>
                <w:rFonts w:ascii="Arial" w:hAnsi="Arial" w:cs="Arial"/>
                <w:b/>
                <w:bCs/>
                <w:color w:val="00B050"/>
                <w:sz w:val="16"/>
                <w:szCs w:val="16"/>
              </w:rPr>
              <w:t>1.4%</w:t>
            </w:r>
          </w:p>
        </w:tc>
        <w:tc>
          <w:tcPr>
            <w:tcW w:w="404" w:type="pct"/>
            <w:noWrap/>
            <w:vAlign w:val="center"/>
            <w:hideMark/>
          </w:tcPr>
          <w:p w14:paraId="1A5E4B58" w14:textId="10E04096"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-10.8%</w:t>
            </w:r>
          </w:p>
        </w:tc>
        <w:tc>
          <w:tcPr>
            <w:tcW w:w="367" w:type="pct"/>
            <w:noWrap/>
            <w:vAlign w:val="center"/>
            <w:hideMark/>
          </w:tcPr>
          <w:p w14:paraId="2E7D1C01" w14:textId="42356F8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345" w:type="pct"/>
            <w:noWrap/>
            <w:vAlign w:val="center"/>
            <w:hideMark/>
          </w:tcPr>
          <w:p w14:paraId="10A80C36" w14:textId="13DD5BD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5.8%</w:t>
            </w:r>
          </w:p>
        </w:tc>
        <w:tc>
          <w:tcPr>
            <w:tcW w:w="325" w:type="pct"/>
            <w:noWrap/>
            <w:vAlign w:val="center"/>
            <w:hideMark/>
          </w:tcPr>
          <w:p w14:paraId="19E92FCA" w14:textId="163128A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7.4%</w:t>
            </w:r>
          </w:p>
        </w:tc>
        <w:tc>
          <w:tcPr>
            <w:tcW w:w="359" w:type="pct"/>
            <w:noWrap/>
            <w:vAlign w:val="center"/>
            <w:hideMark/>
          </w:tcPr>
          <w:p w14:paraId="21DB0664" w14:textId="27AD449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9.9%</w:t>
            </w:r>
          </w:p>
        </w:tc>
        <w:tc>
          <w:tcPr>
            <w:tcW w:w="342" w:type="pct"/>
            <w:noWrap/>
            <w:vAlign w:val="center"/>
            <w:hideMark/>
          </w:tcPr>
          <w:p w14:paraId="6A90F208" w14:textId="1D3F4FB1"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c>
          <w:tcPr>
            <w:tcW w:w="345" w:type="pct"/>
            <w:noWrap/>
            <w:vAlign w:val="center"/>
            <w:hideMark/>
          </w:tcPr>
          <w:p w14:paraId="55A21697" w14:textId="704A1B91"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3B6A4752" w14:textId="77777777" w:rsidTr="00F77277">
        <w:trPr>
          <w:trHeight w:val="283"/>
        </w:trPr>
        <w:tc>
          <w:tcPr>
            <w:tcW w:w="1317" w:type="pct"/>
            <w:noWrap/>
            <w:hideMark/>
          </w:tcPr>
          <w:p w14:paraId="0B911760" w14:textId="3B00B938"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Trend following</w:t>
            </w:r>
            <w:r>
              <w:rPr>
                <w:rFonts w:ascii="Arial" w:hAnsi="Arial" w:cs="Arial"/>
                <w:color w:val="000000"/>
                <w:sz w:val="16"/>
                <w:szCs w:val="16"/>
              </w:rPr>
              <w:t xml:space="preserve"> (USD)</w:t>
            </w:r>
          </w:p>
        </w:tc>
        <w:tc>
          <w:tcPr>
            <w:tcW w:w="417" w:type="pct"/>
            <w:noWrap/>
            <w:vAlign w:val="center"/>
            <w:hideMark/>
          </w:tcPr>
          <w:p w14:paraId="583A6B81" w14:textId="1FB4FA75"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-1.5%</w:t>
            </w:r>
          </w:p>
        </w:tc>
        <w:tc>
          <w:tcPr>
            <w:tcW w:w="378" w:type="pct"/>
            <w:noWrap/>
            <w:vAlign w:val="center"/>
            <w:hideMark/>
          </w:tcPr>
          <w:p w14:paraId="543B2574" w14:textId="7D9699F1"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-4.2%</w:t>
            </w:r>
          </w:p>
        </w:tc>
        <w:tc>
          <w:tcPr>
            <w:tcW w:w="400" w:type="pct"/>
            <w:noWrap/>
            <w:vAlign w:val="center"/>
            <w:hideMark/>
          </w:tcPr>
          <w:p w14:paraId="7C18BB10" w14:textId="36ADB16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-5.3%</w:t>
            </w:r>
          </w:p>
        </w:tc>
        <w:tc>
          <w:tcPr>
            <w:tcW w:w="404" w:type="pct"/>
            <w:noWrap/>
            <w:vAlign w:val="center"/>
            <w:hideMark/>
          </w:tcPr>
          <w:p w14:paraId="5BCD528A" w14:textId="092DBC4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-1.4%</w:t>
            </w:r>
          </w:p>
        </w:tc>
        <w:tc>
          <w:tcPr>
            <w:tcW w:w="367" w:type="pct"/>
            <w:noWrap/>
            <w:vAlign w:val="center"/>
            <w:hideMark/>
          </w:tcPr>
          <w:p w14:paraId="6EE4708A" w14:textId="0BF2ADF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-0.6%</w:t>
            </w:r>
          </w:p>
        </w:tc>
        <w:tc>
          <w:tcPr>
            <w:tcW w:w="345" w:type="pct"/>
            <w:noWrap/>
            <w:vAlign w:val="center"/>
            <w:hideMark/>
          </w:tcPr>
          <w:p w14:paraId="4CBE5A5D" w14:textId="0D012A1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-2.0%</w:t>
            </w:r>
          </w:p>
        </w:tc>
        <w:tc>
          <w:tcPr>
            <w:tcW w:w="325" w:type="pct"/>
            <w:noWrap/>
            <w:vAlign w:val="center"/>
            <w:hideMark/>
          </w:tcPr>
          <w:p w14:paraId="3D9D81EB" w14:textId="38A5DF6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2.1%</w:t>
            </w:r>
          </w:p>
        </w:tc>
        <w:tc>
          <w:tcPr>
            <w:tcW w:w="359" w:type="pct"/>
            <w:noWrap/>
            <w:vAlign w:val="center"/>
            <w:hideMark/>
          </w:tcPr>
          <w:p w14:paraId="5E8DEFEF" w14:textId="77DE9F7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0.4%</w:t>
            </w:r>
          </w:p>
        </w:tc>
        <w:tc>
          <w:tcPr>
            <w:tcW w:w="342" w:type="pct"/>
            <w:noWrap/>
            <w:vAlign w:val="center"/>
            <w:hideMark/>
          </w:tcPr>
          <w:p w14:paraId="063A7C52" w14:textId="7937EE8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3.3%</w:t>
            </w:r>
          </w:p>
        </w:tc>
        <w:tc>
          <w:tcPr>
            <w:tcW w:w="345" w:type="pct"/>
            <w:noWrap/>
            <w:vAlign w:val="center"/>
            <w:hideMark/>
          </w:tcPr>
          <w:p w14:paraId="0CBFF6C3" w14:textId="5087096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5.4%</w:t>
            </w:r>
          </w:p>
        </w:tc>
      </w:tr>
      <w:tr w:rsidR="00F77277" w:rsidRPr="00B969E5" w14:paraId="4E20ED5D"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773EDC45"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bonds</w:t>
            </w:r>
          </w:p>
        </w:tc>
        <w:tc>
          <w:tcPr>
            <w:tcW w:w="417" w:type="pct"/>
            <w:noWrap/>
            <w:vAlign w:val="center"/>
            <w:hideMark/>
          </w:tcPr>
          <w:p w14:paraId="419527D8" w14:textId="41332F7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0.3%</w:t>
            </w:r>
          </w:p>
        </w:tc>
        <w:tc>
          <w:tcPr>
            <w:tcW w:w="378" w:type="pct"/>
            <w:noWrap/>
            <w:vAlign w:val="center"/>
            <w:hideMark/>
          </w:tcPr>
          <w:p w14:paraId="12266F26" w14:textId="3117B65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0.9%</w:t>
            </w:r>
          </w:p>
        </w:tc>
        <w:tc>
          <w:tcPr>
            <w:tcW w:w="400" w:type="pct"/>
            <w:noWrap/>
            <w:vAlign w:val="center"/>
            <w:hideMark/>
          </w:tcPr>
          <w:p w14:paraId="6782CAEF" w14:textId="36525C5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404" w:type="pct"/>
            <w:noWrap/>
            <w:vAlign w:val="center"/>
            <w:hideMark/>
          </w:tcPr>
          <w:p w14:paraId="1FB033A1" w14:textId="5B227DE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4.0%</w:t>
            </w:r>
          </w:p>
        </w:tc>
        <w:tc>
          <w:tcPr>
            <w:tcW w:w="367" w:type="pct"/>
            <w:noWrap/>
            <w:vAlign w:val="center"/>
            <w:hideMark/>
          </w:tcPr>
          <w:p w14:paraId="45B9642E" w14:textId="7074FC4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5.7%</w:t>
            </w:r>
          </w:p>
        </w:tc>
        <w:tc>
          <w:tcPr>
            <w:tcW w:w="345" w:type="pct"/>
            <w:noWrap/>
            <w:vAlign w:val="center"/>
            <w:hideMark/>
          </w:tcPr>
          <w:p w14:paraId="7445177E" w14:textId="314075D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4.5%</w:t>
            </w:r>
          </w:p>
        </w:tc>
        <w:tc>
          <w:tcPr>
            <w:tcW w:w="325" w:type="pct"/>
            <w:noWrap/>
            <w:vAlign w:val="center"/>
            <w:hideMark/>
          </w:tcPr>
          <w:p w14:paraId="19A3345D" w14:textId="41ACD10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5.1%</w:t>
            </w:r>
          </w:p>
        </w:tc>
        <w:tc>
          <w:tcPr>
            <w:tcW w:w="359" w:type="pct"/>
            <w:noWrap/>
            <w:vAlign w:val="center"/>
            <w:hideMark/>
          </w:tcPr>
          <w:p w14:paraId="251C835E" w14:textId="7F1C07B0"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5.6%</w:t>
            </w:r>
          </w:p>
        </w:tc>
        <w:tc>
          <w:tcPr>
            <w:tcW w:w="342" w:type="pct"/>
            <w:noWrap/>
            <w:vAlign w:val="center"/>
            <w:hideMark/>
          </w:tcPr>
          <w:p w14:paraId="51E86DBC" w14:textId="08A42C3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5.8%</w:t>
            </w:r>
          </w:p>
        </w:tc>
        <w:tc>
          <w:tcPr>
            <w:tcW w:w="345" w:type="pct"/>
            <w:noWrap/>
            <w:vAlign w:val="center"/>
            <w:hideMark/>
          </w:tcPr>
          <w:p w14:paraId="5CC6B52A" w14:textId="4F58262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6.0%</w:t>
            </w:r>
          </w:p>
        </w:tc>
      </w:tr>
      <w:tr w:rsidR="00F77277" w:rsidRPr="00B969E5" w14:paraId="6C854648" w14:textId="77777777" w:rsidTr="00F77277">
        <w:trPr>
          <w:trHeight w:val="283"/>
        </w:trPr>
        <w:tc>
          <w:tcPr>
            <w:tcW w:w="1317" w:type="pct"/>
            <w:noWrap/>
            <w:hideMark/>
          </w:tcPr>
          <w:p w14:paraId="603EF235"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bonds - government</w:t>
            </w:r>
          </w:p>
        </w:tc>
        <w:tc>
          <w:tcPr>
            <w:tcW w:w="417" w:type="pct"/>
            <w:noWrap/>
            <w:vAlign w:val="center"/>
            <w:hideMark/>
          </w:tcPr>
          <w:p w14:paraId="69DECAE5" w14:textId="00D2AE4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0.2%</w:t>
            </w:r>
          </w:p>
        </w:tc>
        <w:tc>
          <w:tcPr>
            <w:tcW w:w="378" w:type="pct"/>
            <w:noWrap/>
            <w:vAlign w:val="center"/>
            <w:hideMark/>
          </w:tcPr>
          <w:p w14:paraId="231AA5C2" w14:textId="5285FFC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0.9%</w:t>
            </w:r>
          </w:p>
        </w:tc>
        <w:tc>
          <w:tcPr>
            <w:tcW w:w="400" w:type="pct"/>
            <w:noWrap/>
            <w:vAlign w:val="center"/>
            <w:hideMark/>
          </w:tcPr>
          <w:p w14:paraId="5055D2E6" w14:textId="7605219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1.7%</w:t>
            </w:r>
          </w:p>
        </w:tc>
        <w:tc>
          <w:tcPr>
            <w:tcW w:w="404" w:type="pct"/>
            <w:noWrap/>
            <w:vAlign w:val="center"/>
            <w:hideMark/>
          </w:tcPr>
          <w:p w14:paraId="0788B014" w14:textId="71B298F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4.0%</w:t>
            </w:r>
          </w:p>
        </w:tc>
        <w:tc>
          <w:tcPr>
            <w:tcW w:w="367" w:type="pct"/>
            <w:noWrap/>
            <w:vAlign w:val="center"/>
            <w:hideMark/>
          </w:tcPr>
          <w:p w14:paraId="21D79FAC" w14:textId="030DD90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5.9%</w:t>
            </w:r>
          </w:p>
        </w:tc>
        <w:tc>
          <w:tcPr>
            <w:tcW w:w="345" w:type="pct"/>
            <w:noWrap/>
            <w:vAlign w:val="center"/>
            <w:hideMark/>
          </w:tcPr>
          <w:p w14:paraId="681549FF" w14:textId="020D968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4.6%</w:t>
            </w:r>
          </w:p>
        </w:tc>
        <w:tc>
          <w:tcPr>
            <w:tcW w:w="325" w:type="pct"/>
            <w:noWrap/>
            <w:vAlign w:val="center"/>
            <w:hideMark/>
          </w:tcPr>
          <w:p w14:paraId="13C4A48A" w14:textId="180830C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5.2%</w:t>
            </w:r>
          </w:p>
        </w:tc>
        <w:tc>
          <w:tcPr>
            <w:tcW w:w="359" w:type="pct"/>
            <w:noWrap/>
            <w:vAlign w:val="center"/>
            <w:hideMark/>
          </w:tcPr>
          <w:p w14:paraId="79E900FF" w14:textId="2269B0F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5.6%</w:t>
            </w:r>
          </w:p>
        </w:tc>
        <w:tc>
          <w:tcPr>
            <w:tcW w:w="342" w:type="pct"/>
            <w:noWrap/>
            <w:vAlign w:val="center"/>
            <w:hideMark/>
          </w:tcPr>
          <w:p w14:paraId="7AD81FAF" w14:textId="480043B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5.8%</w:t>
            </w:r>
          </w:p>
        </w:tc>
        <w:tc>
          <w:tcPr>
            <w:tcW w:w="345" w:type="pct"/>
            <w:noWrap/>
            <w:vAlign w:val="center"/>
            <w:hideMark/>
          </w:tcPr>
          <w:p w14:paraId="50446FE3" w14:textId="445B327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5.9%</w:t>
            </w:r>
          </w:p>
        </w:tc>
      </w:tr>
      <w:tr w:rsidR="00F77277" w:rsidRPr="00B969E5" w14:paraId="4962AEF9"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4FE62ACC"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bonds – corporate</w:t>
            </w:r>
          </w:p>
        </w:tc>
        <w:tc>
          <w:tcPr>
            <w:tcW w:w="417" w:type="pct"/>
            <w:noWrap/>
            <w:vAlign w:val="center"/>
            <w:hideMark/>
          </w:tcPr>
          <w:p w14:paraId="4C04AAA7" w14:textId="60F59DF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0.6%</w:t>
            </w:r>
          </w:p>
        </w:tc>
        <w:tc>
          <w:tcPr>
            <w:tcW w:w="378" w:type="pct"/>
            <w:noWrap/>
            <w:vAlign w:val="center"/>
            <w:hideMark/>
          </w:tcPr>
          <w:p w14:paraId="6A139AA3" w14:textId="619FEE4C"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1.2%</w:t>
            </w:r>
          </w:p>
        </w:tc>
        <w:tc>
          <w:tcPr>
            <w:tcW w:w="400" w:type="pct"/>
            <w:noWrap/>
            <w:vAlign w:val="center"/>
            <w:hideMark/>
          </w:tcPr>
          <w:p w14:paraId="0D20547B" w14:textId="5A1C339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3.6%</w:t>
            </w:r>
          </w:p>
        </w:tc>
        <w:tc>
          <w:tcPr>
            <w:tcW w:w="404" w:type="pct"/>
            <w:noWrap/>
            <w:vAlign w:val="center"/>
            <w:hideMark/>
          </w:tcPr>
          <w:p w14:paraId="2C55B06D" w14:textId="697C285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4.3%</w:t>
            </w:r>
          </w:p>
        </w:tc>
        <w:tc>
          <w:tcPr>
            <w:tcW w:w="367" w:type="pct"/>
            <w:noWrap/>
            <w:vAlign w:val="center"/>
            <w:hideMark/>
          </w:tcPr>
          <w:p w14:paraId="6E5E12D9" w14:textId="2C8BECB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5.3%</w:t>
            </w:r>
          </w:p>
        </w:tc>
        <w:tc>
          <w:tcPr>
            <w:tcW w:w="345" w:type="pct"/>
            <w:noWrap/>
            <w:vAlign w:val="center"/>
            <w:hideMark/>
          </w:tcPr>
          <w:p w14:paraId="2A05F316" w14:textId="4055F54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4.8%</w:t>
            </w:r>
          </w:p>
        </w:tc>
        <w:tc>
          <w:tcPr>
            <w:tcW w:w="325" w:type="pct"/>
            <w:noWrap/>
            <w:vAlign w:val="center"/>
            <w:hideMark/>
          </w:tcPr>
          <w:p w14:paraId="414B6E54" w14:textId="60391C9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5.1%</w:t>
            </w:r>
          </w:p>
        </w:tc>
        <w:tc>
          <w:tcPr>
            <w:tcW w:w="359" w:type="pct"/>
            <w:noWrap/>
            <w:vAlign w:val="center"/>
            <w:hideMark/>
          </w:tcPr>
          <w:p w14:paraId="05D47678" w14:textId="4AB44A8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5.9%</w:t>
            </w:r>
          </w:p>
        </w:tc>
        <w:tc>
          <w:tcPr>
            <w:tcW w:w="342" w:type="pct"/>
            <w:noWrap/>
            <w:vAlign w:val="center"/>
            <w:hideMark/>
          </w:tcPr>
          <w:p w14:paraId="42D186ED" w14:textId="0461C72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6.1%</w:t>
            </w:r>
          </w:p>
        </w:tc>
        <w:tc>
          <w:tcPr>
            <w:tcW w:w="345" w:type="pct"/>
            <w:noWrap/>
            <w:vAlign w:val="center"/>
            <w:hideMark/>
          </w:tcPr>
          <w:p w14:paraId="7B3207D0" w14:textId="74BFF69A"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6.2%</w:t>
            </w:r>
          </w:p>
        </w:tc>
      </w:tr>
      <w:tr w:rsidR="00F77277" w:rsidRPr="00B969E5" w14:paraId="515BF55B" w14:textId="77777777" w:rsidTr="00F77277">
        <w:trPr>
          <w:trHeight w:val="283"/>
        </w:trPr>
        <w:tc>
          <w:tcPr>
            <w:tcW w:w="1317" w:type="pct"/>
            <w:noWrap/>
            <w:hideMark/>
          </w:tcPr>
          <w:p w14:paraId="69DF5C66"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Australian bonds - floating rate</w:t>
            </w:r>
          </w:p>
        </w:tc>
        <w:tc>
          <w:tcPr>
            <w:tcW w:w="417" w:type="pct"/>
            <w:noWrap/>
            <w:vAlign w:val="center"/>
            <w:hideMark/>
          </w:tcPr>
          <w:p w14:paraId="38E89C02" w14:textId="3DD280B1"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0.3%</w:t>
            </w:r>
          </w:p>
        </w:tc>
        <w:tc>
          <w:tcPr>
            <w:tcW w:w="378" w:type="pct"/>
            <w:noWrap/>
            <w:vAlign w:val="center"/>
            <w:hideMark/>
          </w:tcPr>
          <w:p w14:paraId="4EB5C23B" w14:textId="43CB323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0.4%</w:t>
            </w:r>
          </w:p>
        </w:tc>
        <w:tc>
          <w:tcPr>
            <w:tcW w:w="400" w:type="pct"/>
            <w:noWrap/>
            <w:vAlign w:val="center"/>
            <w:hideMark/>
          </w:tcPr>
          <w:p w14:paraId="2DE9328B" w14:textId="2C83B36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1.4%</w:t>
            </w:r>
          </w:p>
        </w:tc>
        <w:tc>
          <w:tcPr>
            <w:tcW w:w="404" w:type="pct"/>
            <w:noWrap/>
            <w:vAlign w:val="center"/>
            <w:hideMark/>
          </w:tcPr>
          <w:p w14:paraId="6644C18E" w14:textId="5F6C0C0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367" w:type="pct"/>
            <w:noWrap/>
            <w:vAlign w:val="center"/>
            <w:hideMark/>
          </w:tcPr>
          <w:p w14:paraId="76C2543A" w14:textId="515D50A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2.4%</w:t>
            </w:r>
          </w:p>
        </w:tc>
        <w:tc>
          <w:tcPr>
            <w:tcW w:w="345" w:type="pct"/>
            <w:noWrap/>
            <w:vAlign w:val="center"/>
            <w:hideMark/>
          </w:tcPr>
          <w:p w14:paraId="182627A3" w14:textId="23DD1AE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2.8%</w:t>
            </w:r>
          </w:p>
        </w:tc>
        <w:tc>
          <w:tcPr>
            <w:tcW w:w="325" w:type="pct"/>
            <w:noWrap/>
            <w:vAlign w:val="center"/>
            <w:hideMark/>
          </w:tcPr>
          <w:p w14:paraId="0ACB67B8" w14:textId="448982A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2.9%</w:t>
            </w:r>
          </w:p>
        </w:tc>
        <w:tc>
          <w:tcPr>
            <w:tcW w:w="359" w:type="pct"/>
            <w:noWrap/>
            <w:vAlign w:val="center"/>
            <w:hideMark/>
          </w:tcPr>
          <w:p w14:paraId="3856A69B" w14:textId="72B35B9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3.7%</w:t>
            </w:r>
          </w:p>
        </w:tc>
        <w:tc>
          <w:tcPr>
            <w:tcW w:w="342" w:type="pct"/>
            <w:noWrap/>
            <w:vAlign w:val="center"/>
            <w:hideMark/>
          </w:tcPr>
          <w:p w14:paraId="6F425AF4" w14:textId="04F7EBF1"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4.3%</w:t>
            </w:r>
          </w:p>
        </w:tc>
        <w:tc>
          <w:tcPr>
            <w:tcW w:w="345" w:type="pct"/>
            <w:noWrap/>
            <w:vAlign w:val="center"/>
            <w:hideMark/>
          </w:tcPr>
          <w:p w14:paraId="5FA829E4" w14:textId="00C5196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4.7%</w:t>
            </w:r>
          </w:p>
        </w:tc>
      </w:tr>
      <w:tr w:rsidR="00F77277" w:rsidRPr="00B969E5" w14:paraId="11664E5E"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4FE0829E"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bonds (Hedged)</w:t>
            </w:r>
          </w:p>
        </w:tc>
        <w:tc>
          <w:tcPr>
            <w:tcW w:w="417" w:type="pct"/>
            <w:noWrap/>
            <w:vAlign w:val="center"/>
            <w:hideMark/>
          </w:tcPr>
          <w:p w14:paraId="72FFCA14" w14:textId="5F26146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0.0%</w:t>
            </w:r>
          </w:p>
        </w:tc>
        <w:tc>
          <w:tcPr>
            <w:tcW w:w="378" w:type="pct"/>
            <w:noWrap/>
            <w:vAlign w:val="center"/>
            <w:hideMark/>
          </w:tcPr>
          <w:p w14:paraId="59F84392" w14:textId="48FFDF8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-0.4%</w:t>
            </w:r>
          </w:p>
        </w:tc>
        <w:tc>
          <w:tcPr>
            <w:tcW w:w="400" w:type="pct"/>
            <w:noWrap/>
            <w:vAlign w:val="center"/>
            <w:hideMark/>
          </w:tcPr>
          <w:p w14:paraId="24451DDE" w14:textId="011FE9C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1.4%</w:t>
            </w:r>
          </w:p>
        </w:tc>
        <w:tc>
          <w:tcPr>
            <w:tcW w:w="404" w:type="pct"/>
            <w:noWrap/>
            <w:vAlign w:val="center"/>
            <w:hideMark/>
          </w:tcPr>
          <w:p w14:paraId="0A97A1B9" w14:textId="199A3B1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3.8%</w:t>
            </w:r>
          </w:p>
        </w:tc>
        <w:tc>
          <w:tcPr>
            <w:tcW w:w="367" w:type="pct"/>
            <w:noWrap/>
            <w:vAlign w:val="center"/>
            <w:hideMark/>
          </w:tcPr>
          <w:p w14:paraId="7623E209" w14:textId="586AD94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4.5%</w:t>
            </w:r>
          </w:p>
        </w:tc>
        <w:tc>
          <w:tcPr>
            <w:tcW w:w="345" w:type="pct"/>
            <w:noWrap/>
            <w:vAlign w:val="center"/>
            <w:hideMark/>
          </w:tcPr>
          <w:p w14:paraId="59A37D70" w14:textId="20B46C4C"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4.4%</w:t>
            </w:r>
          </w:p>
        </w:tc>
        <w:tc>
          <w:tcPr>
            <w:tcW w:w="325" w:type="pct"/>
            <w:noWrap/>
            <w:vAlign w:val="center"/>
            <w:hideMark/>
          </w:tcPr>
          <w:p w14:paraId="7010096D" w14:textId="7F90374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5.0%</w:t>
            </w:r>
          </w:p>
        </w:tc>
        <w:tc>
          <w:tcPr>
            <w:tcW w:w="359" w:type="pct"/>
            <w:noWrap/>
            <w:vAlign w:val="center"/>
            <w:hideMark/>
          </w:tcPr>
          <w:p w14:paraId="32468F56" w14:textId="0F33023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5.7%</w:t>
            </w:r>
          </w:p>
        </w:tc>
        <w:tc>
          <w:tcPr>
            <w:tcW w:w="342" w:type="pct"/>
            <w:noWrap/>
            <w:vAlign w:val="center"/>
            <w:hideMark/>
          </w:tcPr>
          <w:p w14:paraId="57F5B014" w14:textId="1425C48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6.5%</w:t>
            </w:r>
          </w:p>
        </w:tc>
        <w:tc>
          <w:tcPr>
            <w:tcW w:w="345" w:type="pct"/>
            <w:noWrap/>
            <w:vAlign w:val="center"/>
            <w:hideMark/>
          </w:tcPr>
          <w:p w14:paraId="0770E74E" w14:textId="561FE03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7.0%</w:t>
            </w:r>
          </w:p>
        </w:tc>
      </w:tr>
      <w:tr w:rsidR="00F77277" w:rsidRPr="00B969E5" w14:paraId="3954494D" w14:textId="77777777" w:rsidTr="00F77277">
        <w:trPr>
          <w:trHeight w:val="283"/>
        </w:trPr>
        <w:tc>
          <w:tcPr>
            <w:tcW w:w="1317" w:type="pct"/>
            <w:noWrap/>
            <w:hideMark/>
          </w:tcPr>
          <w:p w14:paraId="1CD91403"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bonds - government (Hedged)</w:t>
            </w:r>
          </w:p>
        </w:tc>
        <w:tc>
          <w:tcPr>
            <w:tcW w:w="417" w:type="pct"/>
            <w:noWrap/>
            <w:vAlign w:val="center"/>
            <w:hideMark/>
          </w:tcPr>
          <w:p w14:paraId="4EE182D7" w14:textId="61EA5149"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-0.1%</w:t>
            </w:r>
          </w:p>
        </w:tc>
        <w:tc>
          <w:tcPr>
            <w:tcW w:w="378" w:type="pct"/>
            <w:noWrap/>
            <w:vAlign w:val="center"/>
            <w:hideMark/>
          </w:tcPr>
          <w:p w14:paraId="3C656472" w14:textId="4B4D55E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-0.4%</w:t>
            </w:r>
          </w:p>
        </w:tc>
        <w:tc>
          <w:tcPr>
            <w:tcW w:w="400" w:type="pct"/>
            <w:noWrap/>
            <w:vAlign w:val="center"/>
            <w:hideMark/>
          </w:tcPr>
          <w:p w14:paraId="18CB4A4D" w14:textId="19B012C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0.4%</w:t>
            </w:r>
          </w:p>
        </w:tc>
        <w:tc>
          <w:tcPr>
            <w:tcW w:w="404" w:type="pct"/>
            <w:noWrap/>
            <w:vAlign w:val="center"/>
            <w:hideMark/>
          </w:tcPr>
          <w:p w14:paraId="49EE1A21" w14:textId="4700E8D3"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3.6%</w:t>
            </w:r>
          </w:p>
        </w:tc>
        <w:tc>
          <w:tcPr>
            <w:tcW w:w="367" w:type="pct"/>
            <w:noWrap/>
            <w:vAlign w:val="center"/>
            <w:hideMark/>
          </w:tcPr>
          <w:p w14:paraId="4E6D39A1" w14:textId="1749311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4.7%</w:t>
            </w:r>
          </w:p>
        </w:tc>
        <w:tc>
          <w:tcPr>
            <w:tcW w:w="345" w:type="pct"/>
            <w:noWrap/>
            <w:vAlign w:val="center"/>
            <w:hideMark/>
          </w:tcPr>
          <w:p w14:paraId="4F48C6EE" w14:textId="647B11B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4.3%</w:t>
            </w:r>
          </w:p>
        </w:tc>
        <w:tc>
          <w:tcPr>
            <w:tcW w:w="325" w:type="pct"/>
            <w:noWrap/>
            <w:vAlign w:val="center"/>
            <w:hideMark/>
          </w:tcPr>
          <w:p w14:paraId="36047273" w14:textId="5C7525B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5.1%</w:t>
            </w:r>
          </w:p>
        </w:tc>
        <w:tc>
          <w:tcPr>
            <w:tcW w:w="359" w:type="pct"/>
            <w:noWrap/>
            <w:vAlign w:val="center"/>
            <w:hideMark/>
          </w:tcPr>
          <w:p w14:paraId="63A78562" w14:textId="1BC9A2C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5.7%</w:t>
            </w:r>
          </w:p>
        </w:tc>
        <w:tc>
          <w:tcPr>
            <w:tcW w:w="342" w:type="pct"/>
            <w:noWrap/>
            <w:vAlign w:val="center"/>
            <w:hideMark/>
          </w:tcPr>
          <w:p w14:paraId="2CB4F81D" w14:textId="4622089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6.4%</w:t>
            </w:r>
          </w:p>
        </w:tc>
        <w:tc>
          <w:tcPr>
            <w:tcW w:w="345" w:type="pct"/>
            <w:noWrap/>
            <w:vAlign w:val="center"/>
            <w:hideMark/>
          </w:tcPr>
          <w:p w14:paraId="359F3F83" w14:textId="45D7B11E"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B050"/>
                <w:sz w:val="16"/>
                <w:szCs w:val="16"/>
              </w:rPr>
              <w:t>6.9%</w:t>
            </w:r>
          </w:p>
        </w:tc>
      </w:tr>
      <w:tr w:rsidR="00F77277" w:rsidRPr="00B969E5" w14:paraId="15ADF782"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718CD81A"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bonds - corporate (Hedged)</w:t>
            </w:r>
          </w:p>
        </w:tc>
        <w:tc>
          <w:tcPr>
            <w:tcW w:w="417" w:type="pct"/>
            <w:noWrap/>
            <w:vAlign w:val="center"/>
            <w:hideMark/>
          </w:tcPr>
          <w:p w14:paraId="434B4213" w14:textId="28B4FC81"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0.1%</w:t>
            </w:r>
          </w:p>
        </w:tc>
        <w:tc>
          <w:tcPr>
            <w:tcW w:w="378" w:type="pct"/>
            <w:noWrap/>
            <w:vAlign w:val="center"/>
            <w:hideMark/>
          </w:tcPr>
          <w:p w14:paraId="3932AAA5" w14:textId="512F06F7"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-0.7%</w:t>
            </w:r>
          </w:p>
        </w:tc>
        <w:tc>
          <w:tcPr>
            <w:tcW w:w="400" w:type="pct"/>
            <w:noWrap/>
            <w:vAlign w:val="center"/>
            <w:hideMark/>
          </w:tcPr>
          <w:p w14:paraId="67C94A50" w14:textId="5136FF6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4.8%</w:t>
            </w:r>
          </w:p>
        </w:tc>
        <w:tc>
          <w:tcPr>
            <w:tcW w:w="404" w:type="pct"/>
            <w:noWrap/>
            <w:vAlign w:val="center"/>
            <w:hideMark/>
          </w:tcPr>
          <w:p w14:paraId="3034DF1E" w14:textId="5FCB4FF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4.7%</w:t>
            </w:r>
          </w:p>
        </w:tc>
        <w:tc>
          <w:tcPr>
            <w:tcW w:w="367" w:type="pct"/>
            <w:noWrap/>
            <w:vAlign w:val="center"/>
            <w:hideMark/>
          </w:tcPr>
          <w:p w14:paraId="776045A1" w14:textId="1A992F1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5.0%</w:t>
            </w:r>
          </w:p>
        </w:tc>
        <w:tc>
          <w:tcPr>
            <w:tcW w:w="345" w:type="pct"/>
            <w:noWrap/>
            <w:vAlign w:val="center"/>
            <w:hideMark/>
          </w:tcPr>
          <w:p w14:paraId="435C397C" w14:textId="608C948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5.5%</w:t>
            </w:r>
          </w:p>
        </w:tc>
        <w:tc>
          <w:tcPr>
            <w:tcW w:w="325" w:type="pct"/>
            <w:noWrap/>
            <w:vAlign w:val="center"/>
            <w:hideMark/>
          </w:tcPr>
          <w:p w14:paraId="44161799" w14:textId="6BC51792"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5.7%</w:t>
            </w:r>
          </w:p>
        </w:tc>
        <w:tc>
          <w:tcPr>
            <w:tcW w:w="359" w:type="pct"/>
            <w:noWrap/>
            <w:vAlign w:val="center"/>
            <w:hideMark/>
          </w:tcPr>
          <w:p w14:paraId="1E942259" w14:textId="6D0D066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6.6%</w:t>
            </w:r>
          </w:p>
        </w:tc>
        <w:tc>
          <w:tcPr>
            <w:tcW w:w="342" w:type="pct"/>
            <w:noWrap/>
            <w:vAlign w:val="center"/>
            <w:hideMark/>
          </w:tcPr>
          <w:p w14:paraId="33F67B09" w14:textId="621C76B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6.9%</w:t>
            </w:r>
          </w:p>
        </w:tc>
        <w:tc>
          <w:tcPr>
            <w:tcW w:w="345" w:type="pct"/>
            <w:noWrap/>
            <w:vAlign w:val="center"/>
            <w:hideMark/>
          </w:tcPr>
          <w:p w14:paraId="11DAE5C8" w14:textId="041A4311"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B050"/>
                <w:sz w:val="16"/>
                <w:szCs w:val="16"/>
              </w:rPr>
              <w:t>7.5%</w:t>
            </w:r>
          </w:p>
        </w:tc>
      </w:tr>
      <w:tr w:rsidR="00F77277" w:rsidRPr="00B969E5" w14:paraId="5316FBFF" w14:textId="77777777" w:rsidTr="00F77277">
        <w:trPr>
          <w:trHeight w:val="283"/>
        </w:trPr>
        <w:tc>
          <w:tcPr>
            <w:tcW w:w="1317" w:type="pct"/>
            <w:noWrap/>
            <w:hideMark/>
          </w:tcPr>
          <w:p w14:paraId="4DFD0580"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Global bonds - High Yield (Hedged)</w:t>
            </w:r>
          </w:p>
        </w:tc>
        <w:tc>
          <w:tcPr>
            <w:tcW w:w="417" w:type="pct"/>
            <w:noWrap/>
            <w:vAlign w:val="center"/>
            <w:hideMark/>
          </w:tcPr>
          <w:p w14:paraId="7EC8E014" w14:textId="4B44E02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0.2%</w:t>
            </w:r>
          </w:p>
        </w:tc>
        <w:tc>
          <w:tcPr>
            <w:tcW w:w="378" w:type="pct"/>
            <w:noWrap/>
            <w:vAlign w:val="center"/>
            <w:hideMark/>
          </w:tcPr>
          <w:p w14:paraId="7B4964A2" w14:textId="619C9531"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0.0%</w:t>
            </w:r>
          </w:p>
        </w:tc>
        <w:tc>
          <w:tcPr>
            <w:tcW w:w="400" w:type="pct"/>
            <w:noWrap/>
            <w:vAlign w:val="center"/>
            <w:hideMark/>
          </w:tcPr>
          <w:p w14:paraId="49A6A758" w14:textId="5BF7D520"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10.7%</w:t>
            </w:r>
          </w:p>
        </w:tc>
        <w:tc>
          <w:tcPr>
            <w:tcW w:w="404" w:type="pct"/>
            <w:noWrap/>
            <w:vAlign w:val="center"/>
            <w:hideMark/>
          </w:tcPr>
          <w:p w14:paraId="196EA4A0" w14:textId="298641C4"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-0.3%</w:t>
            </w:r>
          </w:p>
        </w:tc>
        <w:tc>
          <w:tcPr>
            <w:tcW w:w="367" w:type="pct"/>
            <w:noWrap/>
            <w:vAlign w:val="center"/>
            <w:hideMark/>
          </w:tcPr>
          <w:p w14:paraId="44AE56CE" w14:textId="7005B1E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345" w:type="pct"/>
            <w:noWrap/>
            <w:vAlign w:val="center"/>
            <w:hideMark/>
          </w:tcPr>
          <w:p w14:paraId="6F44FE04" w14:textId="6C7A036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5.5%</w:t>
            </w:r>
          </w:p>
        </w:tc>
        <w:tc>
          <w:tcPr>
            <w:tcW w:w="325" w:type="pct"/>
            <w:noWrap/>
            <w:vAlign w:val="center"/>
            <w:hideMark/>
          </w:tcPr>
          <w:p w14:paraId="44D1CFD8" w14:textId="21DDD0D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5.4%</w:t>
            </w:r>
          </w:p>
        </w:tc>
        <w:tc>
          <w:tcPr>
            <w:tcW w:w="359" w:type="pct"/>
            <w:noWrap/>
            <w:vAlign w:val="center"/>
            <w:hideMark/>
          </w:tcPr>
          <w:p w14:paraId="401F7CFE" w14:textId="226D064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7.5%</w:t>
            </w:r>
          </w:p>
        </w:tc>
        <w:tc>
          <w:tcPr>
            <w:tcW w:w="342" w:type="pct"/>
            <w:noWrap/>
            <w:vAlign w:val="center"/>
            <w:hideMark/>
          </w:tcPr>
          <w:p w14:paraId="130AE8DA" w14:textId="0453996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8.5%</w:t>
            </w:r>
          </w:p>
        </w:tc>
        <w:tc>
          <w:tcPr>
            <w:tcW w:w="345" w:type="pct"/>
            <w:noWrap/>
            <w:vAlign w:val="center"/>
            <w:hideMark/>
          </w:tcPr>
          <w:p w14:paraId="2493BF1A" w14:textId="657EC433" w:rsidR="00F77277" w:rsidRPr="003D56F7" w:rsidRDefault="00F77277" w:rsidP="00F77277">
            <w:pPr>
              <w:pStyle w:val="TableText"/>
              <w:jc w:val="center"/>
              <w:rPr>
                <w:rFonts w:ascii="Arial" w:hAnsi="Arial" w:cs="Arial"/>
                <w:b/>
                <w:bCs/>
                <w:color w:val="000000"/>
                <w:sz w:val="16"/>
                <w:szCs w:val="16"/>
              </w:rPr>
            </w:pPr>
            <w:r>
              <w:rPr>
                <w:rFonts w:ascii="Arial" w:hAnsi="Arial" w:cs="Arial"/>
                <w:b/>
                <w:bCs/>
                <w:color w:val="000000"/>
                <w:sz w:val="16"/>
                <w:szCs w:val="16"/>
              </w:rPr>
              <w:t>#N/A</w:t>
            </w:r>
          </w:p>
        </w:tc>
      </w:tr>
      <w:tr w:rsidR="00F77277" w:rsidRPr="00B969E5" w14:paraId="580358E8" w14:textId="77777777" w:rsidTr="00F77277">
        <w:trPr>
          <w:cnfStyle w:val="000000010000" w:firstRow="0" w:lastRow="0" w:firstColumn="0" w:lastColumn="0" w:oddVBand="0" w:evenVBand="0" w:oddHBand="0" w:evenHBand="1" w:firstRowFirstColumn="0" w:firstRowLastColumn="0" w:lastRowFirstColumn="0" w:lastRowLastColumn="0"/>
          <w:trHeight w:val="283"/>
        </w:trPr>
        <w:tc>
          <w:tcPr>
            <w:tcW w:w="1317" w:type="pct"/>
            <w:noWrap/>
            <w:hideMark/>
          </w:tcPr>
          <w:p w14:paraId="33CE3E47"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Emerging Market bonds (Hedged)</w:t>
            </w:r>
          </w:p>
        </w:tc>
        <w:tc>
          <w:tcPr>
            <w:tcW w:w="417" w:type="pct"/>
            <w:noWrap/>
            <w:vAlign w:val="center"/>
            <w:hideMark/>
          </w:tcPr>
          <w:p w14:paraId="0A37FF11" w14:textId="00EF6124"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FF0000"/>
                <w:sz w:val="16"/>
                <w:szCs w:val="16"/>
              </w:rPr>
              <w:t>0.0%</w:t>
            </w:r>
          </w:p>
        </w:tc>
        <w:tc>
          <w:tcPr>
            <w:tcW w:w="378" w:type="pct"/>
            <w:noWrap/>
            <w:vAlign w:val="center"/>
            <w:hideMark/>
          </w:tcPr>
          <w:p w14:paraId="2140D76A" w14:textId="76959197"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-1.7%</w:t>
            </w:r>
          </w:p>
        </w:tc>
        <w:tc>
          <w:tcPr>
            <w:tcW w:w="400" w:type="pct"/>
            <w:noWrap/>
            <w:vAlign w:val="center"/>
            <w:hideMark/>
          </w:tcPr>
          <w:p w14:paraId="4F94C5BD" w14:textId="77EC60FC"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00B050"/>
                <w:sz w:val="16"/>
                <w:szCs w:val="16"/>
              </w:rPr>
              <w:t>12.2%</w:t>
            </w:r>
          </w:p>
        </w:tc>
        <w:tc>
          <w:tcPr>
            <w:tcW w:w="404" w:type="pct"/>
            <w:noWrap/>
            <w:vAlign w:val="center"/>
            <w:hideMark/>
          </w:tcPr>
          <w:p w14:paraId="1972C166" w14:textId="5117EDAA" w:rsidR="00F77277" w:rsidRPr="003D56F7" w:rsidRDefault="00F77277" w:rsidP="00F77277">
            <w:pPr>
              <w:pStyle w:val="TableText"/>
              <w:jc w:val="center"/>
              <w:rPr>
                <w:rFonts w:ascii="Arial" w:hAnsi="Arial" w:cs="Arial"/>
                <w:b/>
                <w:bCs/>
                <w:color w:val="00B050"/>
                <w:sz w:val="16"/>
                <w:szCs w:val="16"/>
              </w:rPr>
            </w:pPr>
            <w:r>
              <w:rPr>
                <w:rFonts w:ascii="Arial" w:hAnsi="Arial" w:cs="Arial"/>
                <w:b/>
                <w:bCs/>
                <w:color w:val="FF0000"/>
                <w:sz w:val="16"/>
                <w:szCs w:val="16"/>
              </w:rPr>
              <w:t>-0.6%</w:t>
            </w:r>
          </w:p>
        </w:tc>
        <w:tc>
          <w:tcPr>
            <w:tcW w:w="367" w:type="pct"/>
            <w:noWrap/>
            <w:vAlign w:val="center"/>
            <w:hideMark/>
          </w:tcPr>
          <w:p w14:paraId="62722272" w14:textId="5496738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2.3%</w:t>
            </w:r>
          </w:p>
        </w:tc>
        <w:tc>
          <w:tcPr>
            <w:tcW w:w="345" w:type="pct"/>
            <w:noWrap/>
            <w:vAlign w:val="center"/>
            <w:hideMark/>
          </w:tcPr>
          <w:p w14:paraId="4FA058B0" w14:textId="4BBF10D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5.3%</w:t>
            </w:r>
          </w:p>
        </w:tc>
        <w:tc>
          <w:tcPr>
            <w:tcW w:w="325" w:type="pct"/>
            <w:noWrap/>
            <w:vAlign w:val="center"/>
            <w:hideMark/>
          </w:tcPr>
          <w:p w14:paraId="557739A5" w14:textId="1FC216E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5.5%</w:t>
            </w:r>
          </w:p>
        </w:tc>
        <w:tc>
          <w:tcPr>
            <w:tcW w:w="359" w:type="pct"/>
            <w:noWrap/>
            <w:vAlign w:val="center"/>
            <w:hideMark/>
          </w:tcPr>
          <w:p w14:paraId="59EB4362" w14:textId="4E348C38"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6.4%</w:t>
            </w:r>
          </w:p>
        </w:tc>
        <w:tc>
          <w:tcPr>
            <w:tcW w:w="342" w:type="pct"/>
            <w:noWrap/>
            <w:vAlign w:val="center"/>
            <w:hideMark/>
          </w:tcPr>
          <w:p w14:paraId="3184FBA4" w14:textId="4174B989"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7.9%</w:t>
            </w:r>
          </w:p>
        </w:tc>
        <w:tc>
          <w:tcPr>
            <w:tcW w:w="345" w:type="pct"/>
            <w:noWrap/>
            <w:vAlign w:val="center"/>
            <w:hideMark/>
          </w:tcPr>
          <w:p w14:paraId="55B691C7" w14:textId="0506D7C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10.0%</w:t>
            </w:r>
          </w:p>
        </w:tc>
      </w:tr>
      <w:tr w:rsidR="00F77277" w:rsidRPr="00B969E5" w14:paraId="70E4FD69" w14:textId="77777777" w:rsidTr="00F77277">
        <w:trPr>
          <w:trHeight w:val="283"/>
        </w:trPr>
        <w:tc>
          <w:tcPr>
            <w:tcW w:w="1317" w:type="pct"/>
            <w:noWrap/>
            <w:hideMark/>
          </w:tcPr>
          <w:p w14:paraId="13769F6A" w14:textId="77777777" w:rsidR="00F77277" w:rsidRPr="003D56F7" w:rsidRDefault="00F77277" w:rsidP="00F77277">
            <w:pPr>
              <w:pStyle w:val="TableText"/>
              <w:rPr>
                <w:rFonts w:ascii="Arial" w:hAnsi="Arial" w:cs="Arial"/>
                <w:color w:val="000000"/>
                <w:sz w:val="16"/>
                <w:szCs w:val="16"/>
              </w:rPr>
            </w:pPr>
            <w:r w:rsidRPr="003D56F7">
              <w:rPr>
                <w:rFonts w:ascii="Arial" w:hAnsi="Arial" w:cs="Arial"/>
                <w:color w:val="000000"/>
                <w:sz w:val="16"/>
                <w:szCs w:val="16"/>
              </w:rPr>
              <w:t>Cash (AUD)</w:t>
            </w:r>
          </w:p>
        </w:tc>
        <w:tc>
          <w:tcPr>
            <w:tcW w:w="417" w:type="pct"/>
            <w:noWrap/>
            <w:vAlign w:val="center"/>
            <w:hideMark/>
          </w:tcPr>
          <w:p w14:paraId="48CE64E6" w14:textId="2F07932D"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0.0%</w:t>
            </w:r>
          </w:p>
        </w:tc>
        <w:tc>
          <w:tcPr>
            <w:tcW w:w="378" w:type="pct"/>
            <w:noWrap/>
            <w:vAlign w:val="center"/>
            <w:hideMark/>
          </w:tcPr>
          <w:p w14:paraId="310198A8" w14:textId="069B5B6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0.0%</w:t>
            </w:r>
          </w:p>
        </w:tc>
        <w:tc>
          <w:tcPr>
            <w:tcW w:w="400" w:type="pct"/>
            <w:noWrap/>
            <w:vAlign w:val="center"/>
            <w:hideMark/>
          </w:tcPr>
          <w:p w14:paraId="254A3B5A" w14:textId="5E87A3F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0.1%</w:t>
            </w:r>
          </w:p>
        </w:tc>
        <w:tc>
          <w:tcPr>
            <w:tcW w:w="404" w:type="pct"/>
            <w:noWrap/>
            <w:vAlign w:val="center"/>
            <w:hideMark/>
          </w:tcPr>
          <w:p w14:paraId="2BD3A8C3" w14:textId="0C7CC6F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0.5%</w:t>
            </w:r>
          </w:p>
        </w:tc>
        <w:tc>
          <w:tcPr>
            <w:tcW w:w="367" w:type="pct"/>
            <w:noWrap/>
            <w:vAlign w:val="center"/>
            <w:hideMark/>
          </w:tcPr>
          <w:p w14:paraId="71FE1C1A" w14:textId="2C13A007"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1.4%</w:t>
            </w:r>
          </w:p>
        </w:tc>
        <w:tc>
          <w:tcPr>
            <w:tcW w:w="345" w:type="pct"/>
            <w:noWrap/>
            <w:vAlign w:val="center"/>
            <w:hideMark/>
          </w:tcPr>
          <w:p w14:paraId="3C88F46D" w14:textId="74035B3E"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1.6%</w:t>
            </w:r>
          </w:p>
        </w:tc>
        <w:tc>
          <w:tcPr>
            <w:tcW w:w="325" w:type="pct"/>
            <w:noWrap/>
            <w:vAlign w:val="center"/>
            <w:hideMark/>
          </w:tcPr>
          <w:p w14:paraId="6D15D17C" w14:textId="344066A6"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1.9%</w:t>
            </w:r>
          </w:p>
        </w:tc>
        <w:tc>
          <w:tcPr>
            <w:tcW w:w="359" w:type="pct"/>
            <w:noWrap/>
            <w:vAlign w:val="center"/>
            <w:hideMark/>
          </w:tcPr>
          <w:p w14:paraId="791284B8" w14:textId="3D66636F"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2.5%</w:t>
            </w:r>
          </w:p>
        </w:tc>
        <w:tc>
          <w:tcPr>
            <w:tcW w:w="342" w:type="pct"/>
            <w:noWrap/>
            <w:vAlign w:val="center"/>
            <w:hideMark/>
          </w:tcPr>
          <w:p w14:paraId="567A7EA7" w14:textId="7C531EF5"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3.6%</w:t>
            </w:r>
          </w:p>
        </w:tc>
        <w:tc>
          <w:tcPr>
            <w:tcW w:w="345" w:type="pct"/>
            <w:noWrap/>
            <w:vAlign w:val="center"/>
            <w:hideMark/>
          </w:tcPr>
          <w:p w14:paraId="3459B797" w14:textId="367DD10B" w:rsidR="00F77277" w:rsidRPr="003D56F7" w:rsidRDefault="00F77277" w:rsidP="00F77277">
            <w:pPr>
              <w:pStyle w:val="TableText"/>
              <w:jc w:val="center"/>
              <w:rPr>
                <w:rFonts w:ascii="Arial" w:hAnsi="Arial" w:cs="Arial"/>
                <w:b/>
                <w:bCs/>
                <w:color w:val="007A45"/>
                <w:sz w:val="16"/>
                <w:szCs w:val="16"/>
              </w:rPr>
            </w:pPr>
            <w:r>
              <w:rPr>
                <w:rFonts w:ascii="Arial" w:hAnsi="Arial" w:cs="Arial"/>
                <w:b/>
                <w:bCs/>
                <w:color w:val="00B050"/>
                <w:sz w:val="16"/>
                <w:szCs w:val="16"/>
              </w:rPr>
              <w:t>4.0%</w:t>
            </w:r>
          </w:p>
        </w:tc>
      </w:tr>
    </w:tbl>
    <w:p w14:paraId="4C6C320B" w14:textId="77777777" w:rsidR="0087273B" w:rsidRDefault="0087273B" w:rsidP="0087273B">
      <w:pPr>
        <w:pStyle w:val="Disclaimer"/>
        <w:rPr>
          <w:b/>
          <w:bCs/>
        </w:rPr>
      </w:pPr>
    </w:p>
    <w:p w14:paraId="69C69109" w14:textId="0B7CC3B2" w:rsidR="0087273B" w:rsidRPr="00B969E5" w:rsidRDefault="0087273B" w:rsidP="0087273B">
      <w:pPr>
        <w:pStyle w:val="Disclaimer"/>
        <w:rPr>
          <w:sz w:val="20"/>
        </w:rPr>
      </w:pPr>
      <w:r w:rsidRPr="00B969E5">
        <w:rPr>
          <w:b/>
          <w:bCs/>
        </w:rPr>
        <w:t>Sources:</w:t>
      </w:r>
      <w:r w:rsidRPr="00B969E5">
        <w:t xml:space="preserve"> Bloomberg, IOOF calculations</w:t>
      </w:r>
    </w:p>
    <w:p w14:paraId="01B7032E" w14:textId="1C3330F3" w:rsidR="0087273B" w:rsidRPr="00B969E5" w:rsidRDefault="0087273B" w:rsidP="0087273B">
      <w:pPr>
        <w:pStyle w:val="Disclaimer"/>
        <w:rPr>
          <w:sz w:val="20"/>
        </w:rPr>
      </w:pPr>
      <w:r w:rsidRPr="00B969E5">
        <w:t xml:space="preserve">* AUD total returns as at </w:t>
      </w:r>
      <w:r w:rsidR="00585F8F">
        <w:t>Oct</w:t>
      </w:r>
      <w:r w:rsidRPr="00B969E5">
        <w:t>-20 assuming reinvestment of dividends</w:t>
      </w:r>
      <w:r w:rsidR="00522AF1">
        <w:t xml:space="preserve"> unless otherwise specified</w:t>
      </w:r>
    </w:p>
    <w:p w14:paraId="6501A751" w14:textId="77777777" w:rsidR="0087273B" w:rsidRPr="00B969E5" w:rsidRDefault="0087273B" w:rsidP="0087273B">
      <w:pPr>
        <w:pStyle w:val="Disclaimer"/>
        <w:rPr>
          <w:sz w:val="20"/>
        </w:rPr>
      </w:pPr>
      <w:r w:rsidRPr="00B969E5">
        <w:t>** Returns reflect index performance excluding any fees; Actual ETF/managed fund performance will vary due to both fees and tracking error.</w:t>
      </w:r>
    </w:p>
    <w:p w14:paraId="0031C4EC" w14:textId="77777777" w:rsidR="003D56F7" w:rsidRDefault="003D56F7"/>
    <w:p w14:paraId="3BBD2E0D" w14:textId="77777777" w:rsidR="003D56F7" w:rsidRDefault="003D56F7"/>
    <w:p w14:paraId="2F77425E" w14:textId="4BBAE3C1" w:rsidR="003D56F7" w:rsidRDefault="003D56F7">
      <w:pPr>
        <w:rPr>
          <w:rFonts w:cs="Arial"/>
          <w:b/>
          <w:bCs/>
          <w:iCs/>
          <w:color w:val="007A45"/>
          <w:sz w:val="28"/>
          <w:szCs w:val="28"/>
        </w:rPr>
      </w:pPr>
      <w:r>
        <w:br w:type="page"/>
      </w:r>
    </w:p>
    <w:p w14:paraId="2F9BCDA6" w14:textId="3F25FD68" w:rsidR="00E06B70" w:rsidRDefault="00E06B70" w:rsidP="003D56F7">
      <w:pPr>
        <w:pStyle w:val="Heading2"/>
      </w:pPr>
      <w:r>
        <w:lastRenderedPageBreak/>
        <w:t>Appendix – Index sources</w:t>
      </w:r>
    </w:p>
    <w:tbl>
      <w:tblPr>
        <w:tblStyle w:val="TableIOOF"/>
        <w:tblW w:w="5000" w:type="pct"/>
        <w:tblLayout w:type="fixed"/>
        <w:tblLook w:val="04A0" w:firstRow="1" w:lastRow="0" w:firstColumn="1" w:lastColumn="0" w:noHBand="0" w:noVBand="1"/>
      </w:tblPr>
      <w:tblGrid>
        <w:gridCol w:w="3257"/>
        <w:gridCol w:w="6941"/>
      </w:tblGrid>
      <w:tr w:rsidR="0087273B" w:rsidRPr="0087273B" w14:paraId="704BB7F4" w14:textId="77777777" w:rsidTr="0087273B">
        <w:trPr>
          <w:cnfStyle w:val="100000000000" w:firstRow="1" w:lastRow="0" w:firstColumn="0" w:lastColumn="0" w:oddVBand="0" w:evenVBand="0" w:oddHBand="0" w:evenHBand="0" w:firstRowFirstColumn="0" w:firstRowLastColumn="0" w:lastRowFirstColumn="0" w:lastRowLastColumn="0"/>
        </w:trPr>
        <w:tc>
          <w:tcPr>
            <w:tcW w:w="1597" w:type="pct"/>
          </w:tcPr>
          <w:p w14:paraId="679E1595" w14:textId="77777777" w:rsidR="0087273B" w:rsidRPr="0087273B" w:rsidRDefault="0087273B" w:rsidP="0087273B">
            <w:pPr>
              <w:pStyle w:val="TableHeading"/>
            </w:pPr>
            <w:r w:rsidRPr="0087273B">
              <w:t>Asset class</w:t>
            </w:r>
          </w:p>
        </w:tc>
        <w:tc>
          <w:tcPr>
            <w:tcW w:w="3403" w:type="pct"/>
          </w:tcPr>
          <w:p w14:paraId="36AEF076" w14:textId="77777777" w:rsidR="0087273B" w:rsidRPr="0087273B" w:rsidRDefault="0087273B" w:rsidP="0087273B">
            <w:pPr>
              <w:pStyle w:val="TableHeading"/>
            </w:pPr>
            <w:r w:rsidRPr="0087273B">
              <w:t>Index</w:t>
            </w:r>
          </w:p>
        </w:tc>
      </w:tr>
      <w:tr w:rsidR="0087273B" w:rsidRPr="0087273B" w14:paraId="48291D1C" w14:textId="77777777" w:rsidTr="0087273B">
        <w:tc>
          <w:tcPr>
            <w:tcW w:w="1597" w:type="pct"/>
          </w:tcPr>
          <w:p w14:paraId="23DD0AB9" w14:textId="77777777" w:rsidR="0087273B" w:rsidRPr="0087273B" w:rsidRDefault="0087273B" w:rsidP="0087273B">
            <w:pPr>
              <w:pStyle w:val="TableText"/>
            </w:pPr>
            <w:r w:rsidRPr="0087273B">
              <w:t>Australian equities (S&amp;P/ASX 200)</w:t>
            </w:r>
          </w:p>
        </w:tc>
        <w:tc>
          <w:tcPr>
            <w:tcW w:w="3403" w:type="pct"/>
          </w:tcPr>
          <w:p w14:paraId="71F11114" w14:textId="77777777" w:rsidR="0087273B" w:rsidRPr="0087273B" w:rsidRDefault="0087273B" w:rsidP="0087273B">
            <w:pPr>
              <w:pStyle w:val="TableText"/>
            </w:pPr>
            <w:r w:rsidRPr="0087273B">
              <w:t>S&amp;P/ASX 200 Accumulation Index</w:t>
            </w:r>
          </w:p>
        </w:tc>
      </w:tr>
      <w:tr w:rsidR="0087273B" w:rsidRPr="0087273B" w14:paraId="6911744E"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6C4E83ED" w14:textId="77777777" w:rsidR="0087273B" w:rsidRPr="0087273B" w:rsidRDefault="0087273B" w:rsidP="0087273B">
            <w:pPr>
              <w:pStyle w:val="TableText"/>
            </w:pPr>
            <w:r w:rsidRPr="0087273B">
              <w:t>Australian equities - Mid caps</w:t>
            </w:r>
          </w:p>
        </w:tc>
        <w:tc>
          <w:tcPr>
            <w:tcW w:w="3403" w:type="pct"/>
          </w:tcPr>
          <w:p w14:paraId="1B280340" w14:textId="77777777" w:rsidR="0087273B" w:rsidRPr="0087273B" w:rsidRDefault="0087273B" w:rsidP="0087273B">
            <w:pPr>
              <w:pStyle w:val="TableText"/>
            </w:pPr>
            <w:r w:rsidRPr="0087273B">
              <w:t>S&amp;P/ASX Accumulation Midcap 50 Index</w:t>
            </w:r>
          </w:p>
        </w:tc>
      </w:tr>
      <w:tr w:rsidR="0087273B" w:rsidRPr="0087273B" w14:paraId="6E192684" w14:textId="77777777" w:rsidTr="0087273B">
        <w:tc>
          <w:tcPr>
            <w:tcW w:w="1597" w:type="pct"/>
          </w:tcPr>
          <w:p w14:paraId="5DA7CE2B" w14:textId="77777777" w:rsidR="0087273B" w:rsidRPr="0087273B" w:rsidRDefault="0087273B" w:rsidP="0087273B">
            <w:pPr>
              <w:pStyle w:val="TableText"/>
            </w:pPr>
            <w:r w:rsidRPr="0087273B">
              <w:t>Australian equities - Small caps</w:t>
            </w:r>
          </w:p>
        </w:tc>
        <w:tc>
          <w:tcPr>
            <w:tcW w:w="3403" w:type="pct"/>
          </w:tcPr>
          <w:p w14:paraId="099D2ECD" w14:textId="77777777" w:rsidR="0087273B" w:rsidRPr="0087273B" w:rsidRDefault="0087273B" w:rsidP="0087273B">
            <w:pPr>
              <w:pStyle w:val="TableText"/>
            </w:pPr>
            <w:r w:rsidRPr="0087273B">
              <w:t>S&amp;P/ASX Accumulation Small Cap Ordinaries Index</w:t>
            </w:r>
          </w:p>
        </w:tc>
      </w:tr>
      <w:tr w:rsidR="0087273B" w:rsidRPr="0087273B" w14:paraId="47ABB996"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55E7910F" w14:textId="77777777" w:rsidR="0087273B" w:rsidRPr="0087273B" w:rsidRDefault="0087273B" w:rsidP="0087273B">
            <w:pPr>
              <w:pStyle w:val="TableText"/>
            </w:pPr>
            <w:r w:rsidRPr="0087273B">
              <w:t>Australian equities - Micro caps</w:t>
            </w:r>
          </w:p>
        </w:tc>
        <w:tc>
          <w:tcPr>
            <w:tcW w:w="3403" w:type="pct"/>
          </w:tcPr>
          <w:p w14:paraId="2FB4D713" w14:textId="77777777" w:rsidR="0087273B" w:rsidRPr="0087273B" w:rsidRDefault="0087273B" w:rsidP="0087273B">
            <w:pPr>
              <w:pStyle w:val="TableText"/>
            </w:pPr>
            <w:r w:rsidRPr="0087273B">
              <w:t>S&amp;P/ASX Emerging Companies Total Return Index</w:t>
            </w:r>
          </w:p>
        </w:tc>
      </w:tr>
      <w:tr w:rsidR="0087273B" w:rsidRPr="0087273B" w14:paraId="79AE69C4" w14:textId="77777777" w:rsidTr="0087273B">
        <w:tc>
          <w:tcPr>
            <w:tcW w:w="1597" w:type="pct"/>
          </w:tcPr>
          <w:p w14:paraId="21FB867C" w14:textId="77777777" w:rsidR="0087273B" w:rsidRPr="0087273B" w:rsidRDefault="0087273B" w:rsidP="0087273B">
            <w:pPr>
              <w:pStyle w:val="TableText"/>
            </w:pPr>
            <w:r w:rsidRPr="0087273B">
              <w:t>International equities</w:t>
            </w:r>
          </w:p>
        </w:tc>
        <w:tc>
          <w:tcPr>
            <w:tcW w:w="3403" w:type="pct"/>
          </w:tcPr>
          <w:p w14:paraId="49631877" w14:textId="77777777" w:rsidR="0087273B" w:rsidRPr="0087273B" w:rsidRDefault="0087273B" w:rsidP="0087273B">
            <w:pPr>
              <w:pStyle w:val="TableText"/>
            </w:pPr>
            <w:r w:rsidRPr="0087273B">
              <w:t>MSCI World ex Australia Net Total Return (in AUD)</w:t>
            </w:r>
          </w:p>
        </w:tc>
      </w:tr>
      <w:tr w:rsidR="0087273B" w:rsidRPr="0087273B" w14:paraId="39B255FE"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331C6A8E" w14:textId="77777777" w:rsidR="0087273B" w:rsidRPr="0087273B" w:rsidRDefault="0087273B" w:rsidP="0087273B">
            <w:pPr>
              <w:pStyle w:val="TableText"/>
            </w:pPr>
            <w:r w:rsidRPr="0087273B">
              <w:t>International equities (Hedged)</w:t>
            </w:r>
          </w:p>
        </w:tc>
        <w:tc>
          <w:tcPr>
            <w:tcW w:w="3403" w:type="pct"/>
          </w:tcPr>
          <w:p w14:paraId="6430A838" w14:textId="77777777" w:rsidR="0087273B" w:rsidRPr="0087273B" w:rsidRDefault="0087273B" w:rsidP="0087273B">
            <w:pPr>
              <w:pStyle w:val="TableText"/>
            </w:pPr>
            <w:r w:rsidRPr="0087273B">
              <w:t>MSCI World ex Australia Hedged AUD Net Total Return Index</w:t>
            </w:r>
          </w:p>
        </w:tc>
      </w:tr>
      <w:tr w:rsidR="0087273B" w:rsidRPr="0087273B" w14:paraId="02206D4E" w14:textId="77777777" w:rsidTr="0087273B">
        <w:tc>
          <w:tcPr>
            <w:tcW w:w="1597" w:type="pct"/>
          </w:tcPr>
          <w:p w14:paraId="0999CF76" w14:textId="77777777" w:rsidR="0087273B" w:rsidRPr="0087273B" w:rsidRDefault="0087273B" w:rsidP="0087273B">
            <w:pPr>
              <w:pStyle w:val="TableText"/>
            </w:pPr>
            <w:r w:rsidRPr="0087273B">
              <w:t>International equities - Small caps</w:t>
            </w:r>
          </w:p>
        </w:tc>
        <w:tc>
          <w:tcPr>
            <w:tcW w:w="3403" w:type="pct"/>
          </w:tcPr>
          <w:p w14:paraId="6CB8A1B4" w14:textId="77777777" w:rsidR="0087273B" w:rsidRPr="0087273B" w:rsidRDefault="0087273B" w:rsidP="0087273B">
            <w:pPr>
              <w:pStyle w:val="TableText"/>
            </w:pPr>
            <w:r w:rsidRPr="0087273B">
              <w:t>MSCI World Small Cap Net Total Return USD Index (in AUD)</w:t>
            </w:r>
          </w:p>
        </w:tc>
      </w:tr>
      <w:tr w:rsidR="0087273B" w:rsidRPr="0087273B" w14:paraId="720DF451"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310E0701" w14:textId="77777777" w:rsidR="0087273B" w:rsidRPr="0087273B" w:rsidRDefault="0087273B" w:rsidP="0087273B">
            <w:pPr>
              <w:pStyle w:val="TableText"/>
            </w:pPr>
            <w:r w:rsidRPr="0087273B">
              <w:t>Emerging Markets equities</w:t>
            </w:r>
          </w:p>
        </w:tc>
        <w:tc>
          <w:tcPr>
            <w:tcW w:w="3403" w:type="pct"/>
          </w:tcPr>
          <w:p w14:paraId="022F77A7" w14:textId="77777777" w:rsidR="0087273B" w:rsidRPr="0087273B" w:rsidRDefault="0087273B" w:rsidP="0087273B">
            <w:pPr>
              <w:pStyle w:val="TableText"/>
            </w:pPr>
            <w:r w:rsidRPr="0087273B">
              <w:t>MSCI Emerging Markets EM Net Total Return AUD Index</w:t>
            </w:r>
          </w:p>
        </w:tc>
      </w:tr>
      <w:tr w:rsidR="0087273B" w:rsidRPr="0087273B" w14:paraId="20A1F364" w14:textId="77777777" w:rsidTr="0087273B">
        <w:tc>
          <w:tcPr>
            <w:tcW w:w="1597" w:type="pct"/>
          </w:tcPr>
          <w:p w14:paraId="1C62BF8A" w14:textId="77777777" w:rsidR="0087273B" w:rsidRPr="0087273B" w:rsidRDefault="0087273B" w:rsidP="0087273B">
            <w:pPr>
              <w:pStyle w:val="TableText"/>
            </w:pPr>
            <w:r w:rsidRPr="0087273B">
              <w:t>Australian REITs</w:t>
            </w:r>
          </w:p>
        </w:tc>
        <w:tc>
          <w:tcPr>
            <w:tcW w:w="3403" w:type="pct"/>
          </w:tcPr>
          <w:p w14:paraId="135AE222" w14:textId="77777777" w:rsidR="0087273B" w:rsidRPr="0087273B" w:rsidRDefault="0087273B" w:rsidP="0087273B">
            <w:pPr>
              <w:pStyle w:val="TableText"/>
            </w:pPr>
            <w:r w:rsidRPr="0087273B">
              <w:t>S&amp;P/ASX 200 A-REIT Accumulation Index</w:t>
            </w:r>
          </w:p>
        </w:tc>
      </w:tr>
      <w:tr w:rsidR="0087273B" w:rsidRPr="0087273B" w14:paraId="27950D72"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00031049" w14:textId="77777777" w:rsidR="0087273B" w:rsidRPr="0087273B" w:rsidRDefault="0087273B" w:rsidP="0087273B">
            <w:pPr>
              <w:pStyle w:val="TableText"/>
            </w:pPr>
            <w:r w:rsidRPr="0087273B">
              <w:t>Global REITs</w:t>
            </w:r>
          </w:p>
        </w:tc>
        <w:tc>
          <w:tcPr>
            <w:tcW w:w="3403" w:type="pct"/>
          </w:tcPr>
          <w:p w14:paraId="1094628A" w14:textId="77777777" w:rsidR="0087273B" w:rsidRPr="0087273B" w:rsidRDefault="0087273B" w:rsidP="0087273B">
            <w:pPr>
              <w:pStyle w:val="TableText"/>
            </w:pPr>
            <w:r w:rsidRPr="0087273B">
              <w:t>FTSE EPRA/NAREIT Developed Index Net Total Return (in AUD)</w:t>
            </w:r>
          </w:p>
        </w:tc>
      </w:tr>
      <w:tr w:rsidR="0087273B" w:rsidRPr="0087273B" w14:paraId="3CEDE6BC" w14:textId="77777777" w:rsidTr="0087273B">
        <w:tc>
          <w:tcPr>
            <w:tcW w:w="1597" w:type="pct"/>
          </w:tcPr>
          <w:p w14:paraId="1C319064" w14:textId="77777777" w:rsidR="0087273B" w:rsidRPr="0087273B" w:rsidRDefault="0087273B" w:rsidP="0087273B">
            <w:pPr>
              <w:pStyle w:val="TableText"/>
            </w:pPr>
            <w:r w:rsidRPr="0087273B">
              <w:t>Global REITs (Hedged)</w:t>
            </w:r>
          </w:p>
        </w:tc>
        <w:tc>
          <w:tcPr>
            <w:tcW w:w="3403" w:type="pct"/>
          </w:tcPr>
          <w:p w14:paraId="347D107A" w14:textId="77777777" w:rsidR="0087273B" w:rsidRPr="0087273B" w:rsidRDefault="0087273B" w:rsidP="0087273B">
            <w:pPr>
              <w:pStyle w:val="TableText"/>
            </w:pPr>
            <w:r w:rsidRPr="0087273B">
              <w:t>FTSE EPRA/NAREIT Developed Index Net Total Return (Hedged to AUD)</w:t>
            </w:r>
          </w:p>
        </w:tc>
      </w:tr>
      <w:tr w:rsidR="0087273B" w:rsidRPr="0087273B" w14:paraId="38D6C78B"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0DB9844B" w14:textId="77777777" w:rsidR="0087273B" w:rsidRPr="0087273B" w:rsidRDefault="0087273B" w:rsidP="0087273B">
            <w:pPr>
              <w:pStyle w:val="TableText"/>
            </w:pPr>
            <w:r w:rsidRPr="0087273B">
              <w:t>Global Infrastructure</w:t>
            </w:r>
          </w:p>
        </w:tc>
        <w:tc>
          <w:tcPr>
            <w:tcW w:w="3403" w:type="pct"/>
          </w:tcPr>
          <w:p w14:paraId="2114DFB4" w14:textId="77777777" w:rsidR="0087273B" w:rsidRPr="0087273B" w:rsidRDefault="0087273B" w:rsidP="0087273B">
            <w:pPr>
              <w:pStyle w:val="TableText"/>
            </w:pPr>
            <w:r w:rsidRPr="0087273B">
              <w:t>FTSE Global Core Infrastructure 50/50 Net Total Return in AUD</w:t>
            </w:r>
          </w:p>
        </w:tc>
      </w:tr>
      <w:tr w:rsidR="0087273B" w:rsidRPr="0087273B" w14:paraId="19F11B03" w14:textId="77777777" w:rsidTr="0087273B">
        <w:tc>
          <w:tcPr>
            <w:tcW w:w="1597" w:type="pct"/>
          </w:tcPr>
          <w:p w14:paraId="22B20075" w14:textId="77777777" w:rsidR="0087273B" w:rsidRPr="0087273B" w:rsidRDefault="0087273B" w:rsidP="0087273B">
            <w:pPr>
              <w:pStyle w:val="TableText"/>
            </w:pPr>
            <w:r w:rsidRPr="0087273B">
              <w:t>Global Infrastructure (Hedged)</w:t>
            </w:r>
          </w:p>
        </w:tc>
        <w:tc>
          <w:tcPr>
            <w:tcW w:w="3403" w:type="pct"/>
          </w:tcPr>
          <w:p w14:paraId="21C83DA1" w14:textId="77777777" w:rsidR="0087273B" w:rsidRPr="0087273B" w:rsidRDefault="0087273B" w:rsidP="0087273B">
            <w:pPr>
              <w:pStyle w:val="TableText"/>
            </w:pPr>
            <w:r w:rsidRPr="0087273B">
              <w:t>FTSE Global Core Infrastructure 50/50 100% Hedged to AUD Net Tax Index</w:t>
            </w:r>
          </w:p>
        </w:tc>
      </w:tr>
      <w:tr w:rsidR="0087273B" w:rsidRPr="0087273B" w14:paraId="5BA1C5BB"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51A60D8B" w14:textId="77777777" w:rsidR="0087273B" w:rsidRPr="0087273B" w:rsidRDefault="0087273B" w:rsidP="0087273B">
            <w:pPr>
              <w:pStyle w:val="TableText"/>
            </w:pPr>
            <w:r w:rsidRPr="0087273B">
              <w:t>Trend following</w:t>
            </w:r>
          </w:p>
        </w:tc>
        <w:tc>
          <w:tcPr>
            <w:tcW w:w="3403" w:type="pct"/>
          </w:tcPr>
          <w:p w14:paraId="6A6263F6" w14:textId="6A97EA4F" w:rsidR="0087273B" w:rsidRPr="0087273B" w:rsidRDefault="0087273B" w:rsidP="0087273B">
            <w:pPr>
              <w:pStyle w:val="TableText"/>
            </w:pPr>
            <w:r w:rsidRPr="0087273B">
              <w:t>SGI Cross Asset Trend Following Index (</w:t>
            </w:r>
            <w:r w:rsidR="00522AF1">
              <w:t>USD</w:t>
            </w:r>
            <w:r w:rsidRPr="0087273B">
              <w:t>)</w:t>
            </w:r>
          </w:p>
        </w:tc>
      </w:tr>
      <w:tr w:rsidR="0087273B" w:rsidRPr="0087273B" w14:paraId="0DB86A4F" w14:textId="77777777" w:rsidTr="0087273B">
        <w:tc>
          <w:tcPr>
            <w:tcW w:w="1597" w:type="pct"/>
          </w:tcPr>
          <w:p w14:paraId="682B9051" w14:textId="77777777" w:rsidR="0087273B" w:rsidRPr="0087273B" w:rsidRDefault="0087273B" w:rsidP="0087273B">
            <w:pPr>
              <w:pStyle w:val="TableText"/>
            </w:pPr>
            <w:r w:rsidRPr="0087273B">
              <w:t>Australian bonds</w:t>
            </w:r>
          </w:p>
        </w:tc>
        <w:tc>
          <w:tcPr>
            <w:tcW w:w="3403" w:type="pct"/>
          </w:tcPr>
          <w:p w14:paraId="6A4C5727" w14:textId="77777777" w:rsidR="0087273B" w:rsidRPr="0087273B" w:rsidRDefault="0087273B" w:rsidP="0087273B">
            <w:pPr>
              <w:pStyle w:val="TableText"/>
            </w:pPr>
            <w:r w:rsidRPr="0087273B">
              <w:t>Bloomberg AusBond Composite 0+ Yr Index</w:t>
            </w:r>
          </w:p>
        </w:tc>
      </w:tr>
      <w:tr w:rsidR="0087273B" w:rsidRPr="0087273B" w14:paraId="3124CBEC"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76D304D4" w14:textId="77777777" w:rsidR="0087273B" w:rsidRPr="0087273B" w:rsidRDefault="0087273B" w:rsidP="0087273B">
            <w:pPr>
              <w:pStyle w:val="TableText"/>
            </w:pPr>
            <w:r w:rsidRPr="0087273B">
              <w:t>Australian bonds - government</w:t>
            </w:r>
          </w:p>
        </w:tc>
        <w:tc>
          <w:tcPr>
            <w:tcW w:w="3403" w:type="pct"/>
          </w:tcPr>
          <w:p w14:paraId="186D38B2" w14:textId="77777777" w:rsidR="0087273B" w:rsidRPr="0087273B" w:rsidRDefault="0087273B" w:rsidP="0087273B">
            <w:pPr>
              <w:pStyle w:val="TableText"/>
            </w:pPr>
            <w:r w:rsidRPr="0087273B">
              <w:t>Bloomberg AusBond Govt 0+ Yr Index</w:t>
            </w:r>
          </w:p>
        </w:tc>
      </w:tr>
      <w:tr w:rsidR="0087273B" w:rsidRPr="0087273B" w14:paraId="581FA9E8" w14:textId="77777777" w:rsidTr="0087273B">
        <w:tc>
          <w:tcPr>
            <w:tcW w:w="1597" w:type="pct"/>
          </w:tcPr>
          <w:p w14:paraId="6BAFEC9B" w14:textId="77777777" w:rsidR="0087273B" w:rsidRPr="0087273B" w:rsidRDefault="0087273B" w:rsidP="0087273B">
            <w:pPr>
              <w:pStyle w:val="TableText"/>
            </w:pPr>
            <w:r w:rsidRPr="0087273B">
              <w:t>Australian bonds – corporate</w:t>
            </w:r>
          </w:p>
        </w:tc>
        <w:tc>
          <w:tcPr>
            <w:tcW w:w="3403" w:type="pct"/>
          </w:tcPr>
          <w:p w14:paraId="5714E846" w14:textId="77777777" w:rsidR="0087273B" w:rsidRPr="0087273B" w:rsidRDefault="0087273B" w:rsidP="0087273B">
            <w:pPr>
              <w:pStyle w:val="TableText"/>
            </w:pPr>
            <w:r w:rsidRPr="0087273B">
              <w:t>Bloomberg AusBond Credit 0+ Yr Index</w:t>
            </w:r>
          </w:p>
        </w:tc>
      </w:tr>
      <w:tr w:rsidR="0087273B" w:rsidRPr="0087273B" w14:paraId="196CBCBE"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51C61960" w14:textId="77777777" w:rsidR="0087273B" w:rsidRPr="0087273B" w:rsidRDefault="0087273B" w:rsidP="0087273B">
            <w:pPr>
              <w:pStyle w:val="TableText"/>
            </w:pPr>
            <w:r w:rsidRPr="0087273B">
              <w:t>Australian bonds - floating rate</w:t>
            </w:r>
          </w:p>
        </w:tc>
        <w:tc>
          <w:tcPr>
            <w:tcW w:w="3403" w:type="pct"/>
          </w:tcPr>
          <w:p w14:paraId="37C84786" w14:textId="77777777" w:rsidR="0087273B" w:rsidRPr="0087273B" w:rsidRDefault="0087273B" w:rsidP="0087273B">
            <w:pPr>
              <w:pStyle w:val="TableText"/>
            </w:pPr>
            <w:r w:rsidRPr="0087273B">
              <w:t>Bloomberg AusBond Credit FRN 0+ Yr Index</w:t>
            </w:r>
          </w:p>
        </w:tc>
      </w:tr>
      <w:tr w:rsidR="0087273B" w:rsidRPr="0087273B" w14:paraId="78AD3BEA" w14:textId="77777777" w:rsidTr="0087273B">
        <w:tc>
          <w:tcPr>
            <w:tcW w:w="1597" w:type="pct"/>
          </w:tcPr>
          <w:p w14:paraId="7B918F6D" w14:textId="77777777" w:rsidR="0087273B" w:rsidRPr="0087273B" w:rsidRDefault="0087273B" w:rsidP="0087273B">
            <w:pPr>
              <w:pStyle w:val="TableText"/>
            </w:pPr>
            <w:r w:rsidRPr="0087273B">
              <w:t>Global bonds (Hedged)</w:t>
            </w:r>
          </w:p>
        </w:tc>
        <w:tc>
          <w:tcPr>
            <w:tcW w:w="3403" w:type="pct"/>
          </w:tcPr>
          <w:p w14:paraId="1A38309A" w14:textId="77777777" w:rsidR="0087273B" w:rsidRPr="0087273B" w:rsidRDefault="0087273B" w:rsidP="0087273B">
            <w:pPr>
              <w:pStyle w:val="TableText"/>
            </w:pPr>
            <w:r w:rsidRPr="0087273B">
              <w:t>Bloomberg Barclays Global Aggregate Total Return Index Value Hedged AUD</w:t>
            </w:r>
          </w:p>
        </w:tc>
      </w:tr>
      <w:tr w:rsidR="0087273B" w:rsidRPr="0087273B" w14:paraId="08C83C9F"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28E07426" w14:textId="77777777" w:rsidR="0087273B" w:rsidRPr="0087273B" w:rsidRDefault="0087273B" w:rsidP="0087273B">
            <w:pPr>
              <w:pStyle w:val="TableText"/>
            </w:pPr>
            <w:r w:rsidRPr="0087273B">
              <w:t>Global bonds - government (Hedged)</w:t>
            </w:r>
          </w:p>
        </w:tc>
        <w:tc>
          <w:tcPr>
            <w:tcW w:w="3403" w:type="pct"/>
          </w:tcPr>
          <w:p w14:paraId="45D49E43" w14:textId="77777777" w:rsidR="0087273B" w:rsidRPr="0087273B" w:rsidRDefault="0087273B" w:rsidP="0087273B">
            <w:pPr>
              <w:pStyle w:val="TableText"/>
            </w:pPr>
            <w:r w:rsidRPr="0087273B">
              <w:t>Bloomberg Barclays Global Aggregate Treasuries Total Return Index Hedged AUD</w:t>
            </w:r>
          </w:p>
        </w:tc>
      </w:tr>
      <w:tr w:rsidR="0087273B" w:rsidRPr="0087273B" w14:paraId="72FFE9CC" w14:textId="77777777" w:rsidTr="0087273B">
        <w:tc>
          <w:tcPr>
            <w:tcW w:w="1597" w:type="pct"/>
          </w:tcPr>
          <w:p w14:paraId="04CA4FCB" w14:textId="77777777" w:rsidR="0087273B" w:rsidRPr="0087273B" w:rsidRDefault="0087273B" w:rsidP="0087273B">
            <w:pPr>
              <w:pStyle w:val="TableText"/>
            </w:pPr>
            <w:r w:rsidRPr="0087273B">
              <w:t>Global bonds - corporate (Hedged)</w:t>
            </w:r>
          </w:p>
        </w:tc>
        <w:tc>
          <w:tcPr>
            <w:tcW w:w="3403" w:type="pct"/>
          </w:tcPr>
          <w:p w14:paraId="6063E2C8" w14:textId="77777777" w:rsidR="0087273B" w:rsidRPr="0087273B" w:rsidRDefault="0087273B" w:rsidP="0087273B">
            <w:pPr>
              <w:pStyle w:val="TableText"/>
            </w:pPr>
            <w:r w:rsidRPr="0087273B">
              <w:t>Bloomberg Barclays Global Aggregate Corporate Total Return Index Hedged AUD</w:t>
            </w:r>
          </w:p>
        </w:tc>
      </w:tr>
      <w:tr w:rsidR="0087273B" w:rsidRPr="0087273B" w14:paraId="6FE78A85"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5EB91A76" w14:textId="77777777" w:rsidR="0087273B" w:rsidRPr="0087273B" w:rsidRDefault="0087273B" w:rsidP="0087273B">
            <w:pPr>
              <w:pStyle w:val="TableText"/>
            </w:pPr>
            <w:r w:rsidRPr="0087273B">
              <w:t>Global bonds - High Yield (Hedged)</w:t>
            </w:r>
          </w:p>
        </w:tc>
        <w:tc>
          <w:tcPr>
            <w:tcW w:w="3403" w:type="pct"/>
          </w:tcPr>
          <w:p w14:paraId="7E391BAC" w14:textId="77777777" w:rsidR="0087273B" w:rsidRPr="0087273B" w:rsidRDefault="0087273B" w:rsidP="0087273B">
            <w:pPr>
              <w:pStyle w:val="TableText"/>
            </w:pPr>
            <w:r w:rsidRPr="0087273B">
              <w:t>Bloomberg Barclays Global High Yield Total Return Index Hedged AUD</w:t>
            </w:r>
          </w:p>
        </w:tc>
      </w:tr>
      <w:tr w:rsidR="0087273B" w:rsidRPr="0087273B" w14:paraId="03D9AD7B" w14:textId="77777777" w:rsidTr="0087273B">
        <w:tc>
          <w:tcPr>
            <w:tcW w:w="1597" w:type="pct"/>
          </w:tcPr>
          <w:p w14:paraId="20BA0608" w14:textId="77777777" w:rsidR="0087273B" w:rsidRPr="0087273B" w:rsidRDefault="0087273B" w:rsidP="0087273B">
            <w:pPr>
              <w:pStyle w:val="TableText"/>
            </w:pPr>
            <w:r w:rsidRPr="0087273B">
              <w:t>Emerging Market bonds (Hedged)</w:t>
            </w:r>
          </w:p>
        </w:tc>
        <w:tc>
          <w:tcPr>
            <w:tcW w:w="3403" w:type="pct"/>
          </w:tcPr>
          <w:p w14:paraId="1B86222C" w14:textId="77777777" w:rsidR="0087273B" w:rsidRPr="0087273B" w:rsidRDefault="0087273B" w:rsidP="0087273B">
            <w:pPr>
              <w:pStyle w:val="TableText"/>
            </w:pPr>
            <w:r w:rsidRPr="0087273B">
              <w:t>J.P. Morgan EMBI Global Core Hedged Index Level AUD</w:t>
            </w:r>
          </w:p>
        </w:tc>
      </w:tr>
      <w:tr w:rsidR="0087273B" w:rsidRPr="0087273B" w14:paraId="3BD92C9A" w14:textId="77777777" w:rsidTr="0087273B">
        <w:trPr>
          <w:cnfStyle w:val="000000010000" w:firstRow="0" w:lastRow="0" w:firstColumn="0" w:lastColumn="0" w:oddVBand="0" w:evenVBand="0" w:oddHBand="0" w:evenHBand="1" w:firstRowFirstColumn="0" w:firstRowLastColumn="0" w:lastRowFirstColumn="0" w:lastRowLastColumn="0"/>
        </w:trPr>
        <w:tc>
          <w:tcPr>
            <w:tcW w:w="1597" w:type="pct"/>
          </w:tcPr>
          <w:p w14:paraId="50E103B3" w14:textId="77777777" w:rsidR="0087273B" w:rsidRPr="0087273B" w:rsidRDefault="0087273B" w:rsidP="0087273B">
            <w:pPr>
              <w:pStyle w:val="TableText"/>
            </w:pPr>
            <w:r w:rsidRPr="0087273B">
              <w:t>Cash (AUD)</w:t>
            </w:r>
          </w:p>
        </w:tc>
        <w:tc>
          <w:tcPr>
            <w:tcW w:w="3403" w:type="pct"/>
          </w:tcPr>
          <w:p w14:paraId="6357D6D2" w14:textId="77777777" w:rsidR="0087273B" w:rsidRPr="0087273B" w:rsidRDefault="0087273B" w:rsidP="0087273B">
            <w:pPr>
              <w:pStyle w:val="TableText"/>
            </w:pPr>
            <w:r w:rsidRPr="0087273B">
              <w:t>Bloomberg AusBond Bank Bill Index</w:t>
            </w:r>
          </w:p>
        </w:tc>
      </w:tr>
    </w:tbl>
    <w:p w14:paraId="1BE69820" w14:textId="77777777" w:rsidR="00E06B70" w:rsidRDefault="00E06B70" w:rsidP="00243AA4">
      <w:pPr>
        <w:pStyle w:val="BodyText"/>
      </w:pPr>
    </w:p>
    <w:p w14:paraId="7866B5AD" w14:textId="35D4D127" w:rsidR="0087273B" w:rsidRDefault="0087273B">
      <w:r>
        <w:br w:type="page"/>
      </w:r>
    </w:p>
    <w:p w14:paraId="17549494" w14:textId="05A68410" w:rsidR="00E06B70" w:rsidRDefault="00E06B70" w:rsidP="00243AA4">
      <w:pPr>
        <w:pStyle w:val="BodyText"/>
      </w:pPr>
    </w:p>
    <w:p w14:paraId="22D4A671" w14:textId="77777777" w:rsidR="00E06B70" w:rsidRDefault="00E06B70" w:rsidP="00243AA4">
      <w:pPr>
        <w:pStyle w:val="BodyText"/>
      </w:pPr>
      <w:r>
        <w:t>Research Analyst – Cameron Curko</w:t>
      </w:r>
    </w:p>
    <w:p w14:paraId="53020B20" w14:textId="77777777" w:rsidR="00E06B70" w:rsidRDefault="00E06B70" w:rsidP="00243AA4">
      <w:pPr>
        <w:pStyle w:val="BodyText"/>
      </w:pPr>
      <w:r>
        <w:t>Approved By – Matt Olsen</w:t>
      </w:r>
    </w:p>
    <w:p w14:paraId="1071AECF" w14:textId="77777777" w:rsidR="00E06B70" w:rsidRDefault="00E06B70" w:rsidP="00243AA4">
      <w:pPr>
        <w:pStyle w:val="BodyText"/>
      </w:pPr>
    </w:p>
    <w:p w14:paraId="744BE90D" w14:textId="77777777" w:rsidR="00E06B70" w:rsidRPr="0087273B" w:rsidRDefault="00E06B70" w:rsidP="0087273B">
      <w:pPr>
        <w:pStyle w:val="Disclaimer"/>
        <w:rPr>
          <w:b/>
          <w:bCs/>
        </w:rPr>
      </w:pPr>
      <w:r w:rsidRPr="0087273B">
        <w:rPr>
          <w:b/>
          <w:bCs/>
        </w:rPr>
        <w:t>Research Analyst Disclosures:</w:t>
      </w:r>
    </w:p>
    <w:p w14:paraId="1F389E39" w14:textId="77777777" w:rsidR="00E06B70" w:rsidRDefault="00E06B70" w:rsidP="0087273B">
      <w:pPr>
        <w:pStyle w:val="Disclaimer"/>
      </w:pPr>
    </w:p>
    <w:p w14:paraId="5A1AA5FB" w14:textId="77777777" w:rsidR="00E06B70" w:rsidRDefault="00E06B70" w:rsidP="0087273B">
      <w:pPr>
        <w:pStyle w:val="Disclaimer"/>
      </w:pPr>
      <w:r>
        <w:t>I, Cameron Curko, hereby certify that all the views expressed in this report accurately reflect my personal views about the subject investment theme and/or company securities. I also certify that no part of my compensation was, is, or will be, directly or indirectly, related to the specific recommendations or views expressed in this report.</w:t>
      </w:r>
    </w:p>
    <w:p w14:paraId="4B5E6DA4" w14:textId="77777777" w:rsidR="00E06B70" w:rsidRDefault="00E06B70" w:rsidP="0087273B">
      <w:pPr>
        <w:pStyle w:val="Disclaimer"/>
      </w:pPr>
    </w:p>
    <w:p w14:paraId="00A11628" w14:textId="77777777" w:rsidR="00E06B70" w:rsidRDefault="00E06B70" w:rsidP="0087273B">
      <w:pPr>
        <w:pStyle w:val="Disclaimer"/>
      </w:pPr>
      <w:r>
        <w:t>I, Cameron Curko, and/or entities in which I have a pecuniary interest, have an exposure to the following securities and/or managed products mentioned in this report: Nil</w:t>
      </w:r>
    </w:p>
    <w:p w14:paraId="3EDBAD63" w14:textId="77777777" w:rsidR="00E06B70" w:rsidRDefault="00E06B70" w:rsidP="0087273B">
      <w:pPr>
        <w:pStyle w:val="Disclaimer"/>
      </w:pPr>
    </w:p>
    <w:p w14:paraId="0C9772EE" w14:textId="77777777" w:rsidR="00E06B70" w:rsidRPr="0087273B" w:rsidRDefault="00E06B70" w:rsidP="0087273B">
      <w:pPr>
        <w:pStyle w:val="Disclaimer"/>
        <w:rPr>
          <w:b/>
          <w:bCs/>
        </w:rPr>
      </w:pPr>
      <w:r w:rsidRPr="0087273B">
        <w:rPr>
          <w:b/>
          <w:bCs/>
        </w:rPr>
        <w:t>Important Information</w:t>
      </w:r>
    </w:p>
    <w:p w14:paraId="2920C9BD" w14:textId="77777777" w:rsidR="00E06B70" w:rsidRDefault="00E06B70" w:rsidP="0087273B">
      <w:pPr>
        <w:pStyle w:val="Disclaimer"/>
      </w:pPr>
    </w:p>
    <w:p w14:paraId="69E810C1" w14:textId="77777777" w:rsidR="00E06B70" w:rsidRDefault="00E06B70" w:rsidP="0087273B">
      <w:pPr>
        <w:pStyle w:val="Disclaimer"/>
      </w:pPr>
      <w:r>
        <w:t xml:space="preserve">This report is prepared by Bridges Financial Services Pty Limited ABN 60 003 474 977 AFSL 240837 (Bridges). Bridges is an ASX Market Participant and part of the IOOF group of companies. This report is prepared by the IOOF Research team for: </w:t>
      </w:r>
    </w:p>
    <w:p w14:paraId="06D7A5B1" w14:textId="77777777" w:rsidR="00E06B70" w:rsidRDefault="00E06B70" w:rsidP="0087273B">
      <w:pPr>
        <w:pStyle w:val="Disclaimer"/>
      </w:pPr>
      <w:r>
        <w:t>Bridges Financial Services Pty Limited ABN 60 003 474 977 AFSL 240837, Consultum Financial Advisers Pty Ltd ABN 65 006 373 995 AFSL 230323, Elders Financial Planning ABN 48 007 997 186 AFSL 224645, Financial Services Partners ABN 15 089 512 587 AFSL 237 590, Millennium3 Financial Services Pty Ltd ABN 61 094 529 987 AFSL 244252, RI Advice Group Pty Ltd ABN 23 001 774 125 AFSL 238429, Shadforth Financial Group Ltd ABN 27 127 508 472 AFSL 318613 (‘Advice Licensees’). The Advice Licensees are part of the IOOF group comprising IOOF Holdings ABN 49 100 103 722 and its related bodies corporate (IOOF group).</w:t>
      </w:r>
    </w:p>
    <w:p w14:paraId="19FC2828" w14:textId="77777777" w:rsidR="00E06B70" w:rsidRDefault="00E06B70" w:rsidP="0087273B">
      <w:pPr>
        <w:pStyle w:val="Disclaimer"/>
      </w:pPr>
    </w:p>
    <w:p w14:paraId="799D4A7D" w14:textId="77777777" w:rsidR="00E06B70" w:rsidRDefault="00E06B70" w:rsidP="0087273B">
      <w:pPr>
        <w:pStyle w:val="Disclaimer"/>
      </w:pPr>
      <w:r>
        <w:t>The Advice Licensees and/or their associated entities, directors and/or employees may have a material interest in, and may earn brokerage from, any securities or other financial products referred to in this document, or may provide services to the company referred to in this report. The document is not available for distribution outside Australia and may not be passed on to any third person without the prior written consent of the Advice Licensees. The Advice Licensees and associated persons (including persons from whom information in this report is sourced) may do business or seek to do business with companies covered in its research reports. As a result, investors should be aware that the firms or other such persons may have a conflict of interest that could affect the objectivity of this report. Investors should consider this report as a single factor in making an investment decision.</w:t>
      </w:r>
    </w:p>
    <w:p w14:paraId="223F93F3" w14:textId="77777777" w:rsidR="00E06B70" w:rsidRDefault="00E06B70" w:rsidP="0087273B">
      <w:pPr>
        <w:pStyle w:val="Disclaimer"/>
      </w:pPr>
    </w:p>
    <w:p w14:paraId="7C1B9289" w14:textId="77777777" w:rsidR="00E06B70" w:rsidRDefault="00E06B70" w:rsidP="0087273B">
      <w:pPr>
        <w:pStyle w:val="Disclaimer"/>
      </w:pPr>
      <w:r>
        <w:t>The document is current as at the date of issue but may be superseded by future publications. You can confirm the currency of this document by checking the intranet site (links below).</w:t>
      </w:r>
    </w:p>
    <w:p w14:paraId="48D199FD" w14:textId="77777777" w:rsidR="00E06B70" w:rsidRDefault="00E06B70" w:rsidP="0087273B">
      <w:pPr>
        <w:pStyle w:val="Disclaimer"/>
      </w:pPr>
    </w:p>
    <w:p w14:paraId="2C0D6171" w14:textId="77777777" w:rsidR="00E06B70" w:rsidRDefault="00E06B70" w:rsidP="0087273B">
      <w:pPr>
        <w:pStyle w:val="Disclaimer"/>
      </w:pPr>
      <w:r>
        <w:t xml:space="preserve">The information contained in this report is for the sole use of advisers and clients of AFSL entities authorised by the Advice Licensees. This report may be used on the express condition that you have obtained a copy of the Advice Licensees Financial Services Guide (FSG) from their respective website. </w:t>
      </w:r>
    </w:p>
    <w:p w14:paraId="1860006C" w14:textId="77777777" w:rsidR="00E06B70" w:rsidRDefault="00E06B70" w:rsidP="0087273B">
      <w:pPr>
        <w:pStyle w:val="Disclaimer"/>
      </w:pPr>
    </w:p>
    <w:p w14:paraId="35FCF6F1" w14:textId="77777777" w:rsidR="00E06B70" w:rsidRDefault="00E06B70" w:rsidP="0087273B">
      <w:pPr>
        <w:pStyle w:val="Disclaimer"/>
      </w:pPr>
      <w:r>
        <w:t xml:space="preserve">Disclaimer: The information in this report is general advice only and does not take into account the financial circumstances, needs and objectives of any particular investor. Before acting on the advice contained in this document, you should assess your own circumstances or seek advice from a financial adviser. Where applicable, you should obtain and consider a copy of the Product Disclosure Statement, prospectus or other disclosure material relevant to the financial product before making a decision to acquire a financial product. It is important to note that investments may go up and down and past performance is not an indicator of future performance.  </w:t>
      </w:r>
    </w:p>
    <w:p w14:paraId="449A4EDF" w14:textId="77777777" w:rsidR="00E06B70" w:rsidRDefault="00E06B70" w:rsidP="0087273B">
      <w:pPr>
        <w:pStyle w:val="Disclaimer"/>
      </w:pPr>
    </w:p>
    <w:p w14:paraId="6ED09A40" w14:textId="77777777" w:rsidR="00E06B70" w:rsidRDefault="00E06B70" w:rsidP="0087273B">
      <w:pPr>
        <w:pStyle w:val="Disclaimer"/>
      </w:pPr>
      <w:r>
        <w:t xml:space="preserve">The contents of this report should not be disclosed, in whole or in part, to any other party without the prior consent of the IOOF Research Team and Advice Licensees. To the extent permitted by the law, the IOOF Research team and Advice Licensees and their associated entities are not liable for any loss or damage arising from, or in relation to, the contents of this report. </w:t>
      </w:r>
    </w:p>
    <w:p w14:paraId="53BA6FE7" w14:textId="77777777" w:rsidR="00E06B70" w:rsidRDefault="00E06B70" w:rsidP="0087273B">
      <w:pPr>
        <w:pStyle w:val="Disclaimer"/>
      </w:pPr>
    </w:p>
    <w:p w14:paraId="3263C510" w14:textId="77777777" w:rsidR="00E06B70" w:rsidRDefault="00E06B70" w:rsidP="0087273B">
      <w:pPr>
        <w:pStyle w:val="Disclaimer"/>
      </w:pPr>
      <w:r>
        <w:t xml:space="preserve">For information regarding any potential conflicts of interest and analyst holdings; IOOF Research Team’s coverage criteria, methodology and spread of ratings; and summary information about the qualifications and experience of the IOOF Research Team please visit https://www.ioof.com.au/adviser/investment_funds/ioof_advice_research_process </w:t>
      </w:r>
    </w:p>
    <w:p w14:paraId="388BCFFA" w14:textId="77777777" w:rsidR="00E06B70" w:rsidRDefault="00E06B70" w:rsidP="0087273B">
      <w:pPr>
        <w:pStyle w:val="Disclaimer"/>
      </w:pPr>
      <w:r>
        <w:t xml:space="preserve"> </w:t>
      </w:r>
    </w:p>
    <w:p w14:paraId="6A311EA6" w14:textId="2FFCB190" w:rsidR="00AA69CE" w:rsidRPr="00E06B70" w:rsidRDefault="00AA69CE" w:rsidP="0087273B">
      <w:pPr>
        <w:pStyle w:val="Disclaimer"/>
      </w:pPr>
    </w:p>
    <w:sectPr w:rsidR="00AA69CE" w:rsidRPr="00E06B70" w:rsidSect="0023729C">
      <w:headerReference w:type="first" r:id="rId27"/>
      <w:type w:val="continuous"/>
      <w:pgSz w:w="11906" w:h="16838" w:code="9"/>
      <w:pgMar w:top="1588" w:right="851" w:bottom="1134" w:left="851" w:header="53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9220" w14:textId="77777777" w:rsidR="00BD65E2" w:rsidRDefault="00BD65E2">
      <w:r>
        <w:separator/>
      </w:r>
    </w:p>
  </w:endnote>
  <w:endnote w:type="continuationSeparator" w:id="0">
    <w:p w14:paraId="060FD22A" w14:textId="77777777" w:rsidR="00BD65E2" w:rsidRDefault="00BD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19DF" w14:textId="77777777" w:rsidR="00BD65E2" w:rsidRDefault="00BD65E2"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p w14:paraId="2E59C3A1" w14:textId="77777777" w:rsidR="00BD65E2" w:rsidRDefault="00BD65E2"/>
  <w:p w14:paraId="185F2B1F" w14:textId="77777777" w:rsidR="00BD65E2" w:rsidRDefault="00BD65E2"/>
  <w:p w14:paraId="31AFBFFB" w14:textId="77777777" w:rsidR="00BD65E2" w:rsidRDefault="00BD65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557D" w14:textId="77777777" w:rsidR="00BD65E2" w:rsidRPr="0097260C" w:rsidRDefault="00BD65E2" w:rsidP="0097260C">
    <w:pPr>
      <w:pStyle w:val="Footer"/>
    </w:pPr>
    <w:r w:rsidRPr="0097260C">
      <w:fldChar w:fldCharType="begin"/>
    </w:r>
    <w:r w:rsidRPr="0097260C">
      <w:instrText xml:space="preserve"> PAGE  \* Arabic </w:instrText>
    </w:r>
    <w:r w:rsidRPr="0097260C">
      <w:fldChar w:fldCharType="separate"/>
    </w:r>
    <w:r>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E459" w14:textId="77777777" w:rsidR="00BD65E2" w:rsidRDefault="00BD65E2">
      <w:r>
        <w:separator/>
      </w:r>
    </w:p>
  </w:footnote>
  <w:footnote w:type="continuationSeparator" w:id="0">
    <w:p w14:paraId="41F2C1EE" w14:textId="77777777" w:rsidR="00BD65E2" w:rsidRDefault="00BD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58B8" w14:textId="009687D5" w:rsidR="00BD65E2" w:rsidRPr="0082421C" w:rsidRDefault="00BD65E2" w:rsidP="0082421C">
    <w:pPr>
      <w:pStyle w:val="Header"/>
    </w:pPr>
    <w:r w:rsidRPr="0082421C">
      <w:rPr>
        <w:b/>
      </w:rPr>
      <w:t>IOOF</w:t>
    </w:r>
    <w:r>
      <w:rPr>
        <w:b/>
      </w:rPr>
      <w:t xml:space="preserve"> Research</w:t>
    </w:r>
    <w:r w:rsidRPr="0082421C">
      <w:t xml:space="preserve"> | </w:t>
    </w:r>
    <w:r w:rsidRPr="00280651">
      <w:t>Economics and Markets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72F" w14:textId="77777777" w:rsidR="00BD65E2" w:rsidRDefault="00BD65E2">
    <w:pPr>
      <w:pStyle w:val="Header"/>
    </w:pPr>
    <w:r>
      <w:rPr>
        <w:noProof/>
      </w:rPr>
      <w:drawing>
        <wp:anchor distT="0" distB="0" distL="114300" distR="114300" simplePos="0" relativeHeight="251658240" behindDoc="0" locked="0" layoutInCell="1" allowOverlap="1" wp14:anchorId="7D98EA35" wp14:editId="6E5DE870">
          <wp:simplePos x="0" y="0"/>
          <wp:positionH relativeFrom="page">
            <wp:posOffset>0</wp:posOffset>
          </wp:positionH>
          <wp:positionV relativeFrom="paragraph">
            <wp:posOffset>-336550</wp:posOffset>
          </wp:positionV>
          <wp:extent cx="7571740" cy="2726055"/>
          <wp:effectExtent l="0" t="0" r="0" b="0"/>
          <wp:wrapTopAndBottom/>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1740"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8956" w14:textId="5FA487C2" w:rsidR="00BD65E2" w:rsidRDefault="00BD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E06B70"/>
    <w:rsid w:val="00000923"/>
    <w:rsid w:val="00001DF5"/>
    <w:rsid w:val="00012D9C"/>
    <w:rsid w:val="00013FD6"/>
    <w:rsid w:val="00014935"/>
    <w:rsid w:val="00021043"/>
    <w:rsid w:val="00021195"/>
    <w:rsid w:val="0002620A"/>
    <w:rsid w:val="00032805"/>
    <w:rsid w:val="000331C6"/>
    <w:rsid w:val="000362D3"/>
    <w:rsid w:val="00043F4E"/>
    <w:rsid w:val="00065407"/>
    <w:rsid w:val="0007308E"/>
    <w:rsid w:val="000860C5"/>
    <w:rsid w:val="000A3607"/>
    <w:rsid w:val="000A63CD"/>
    <w:rsid w:val="000C068D"/>
    <w:rsid w:val="000C3FED"/>
    <w:rsid w:val="000D093C"/>
    <w:rsid w:val="000E032A"/>
    <w:rsid w:val="000E6C70"/>
    <w:rsid w:val="000F183C"/>
    <w:rsid w:val="000F30D1"/>
    <w:rsid w:val="000F34B8"/>
    <w:rsid w:val="000F485C"/>
    <w:rsid w:val="000F6A14"/>
    <w:rsid w:val="001003E7"/>
    <w:rsid w:val="00102424"/>
    <w:rsid w:val="00107343"/>
    <w:rsid w:val="00126FCC"/>
    <w:rsid w:val="00133670"/>
    <w:rsid w:val="0013370A"/>
    <w:rsid w:val="001356A2"/>
    <w:rsid w:val="001418AC"/>
    <w:rsid w:val="00142500"/>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87E7E"/>
    <w:rsid w:val="001931E6"/>
    <w:rsid w:val="001B4965"/>
    <w:rsid w:val="001B59E2"/>
    <w:rsid w:val="001C2299"/>
    <w:rsid w:val="001D1883"/>
    <w:rsid w:val="001D25CD"/>
    <w:rsid w:val="001D593D"/>
    <w:rsid w:val="001E4173"/>
    <w:rsid w:val="001E77C4"/>
    <w:rsid w:val="002007C9"/>
    <w:rsid w:val="002031F4"/>
    <w:rsid w:val="002104CA"/>
    <w:rsid w:val="00217C83"/>
    <w:rsid w:val="0022200C"/>
    <w:rsid w:val="00232DCE"/>
    <w:rsid w:val="0023541D"/>
    <w:rsid w:val="0023729C"/>
    <w:rsid w:val="00243AA4"/>
    <w:rsid w:val="002444D9"/>
    <w:rsid w:val="00257032"/>
    <w:rsid w:val="00263ECC"/>
    <w:rsid w:val="00276A76"/>
    <w:rsid w:val="00280651"/>
    <w:rsid w:val="0028294E"/>
    <w:rsid w:val="00283FCD"/>
    <w:rsid w:val="0028507B"/>
    <w:rsid w:val="002A58EE"/>
    <w:rsid w:val="002B3CB2"/>
    <w:rsid w:val="002B4474"/>
    <w:rsid w:val="002C0996"/>
    <w:rsid w:val="002D0162"/>
    <w:rsid w:val="002D5508"/>
    <w:rsid w:val="002F58FC"/>
    <w:rsid w:val="002F7355"/>
    <w:rsid w:val="003029D9"/>
    <w:rsid w:val="00302C25"/>
    <w:rsid w:val="00327D8E"/>
    <w:rsid w:val="00341759"/>
    <w:rsid w:val="00347F2F"/>
    <w:rsid w:val="00365468"/>
    <w:rsid w:val="0036653B"/>
    <w:rsid w:val="00375166"/>
    <w:rsid w:val="003900CF"/>
    <w:rsid w:val="003906DD"/>
    <w:rsid w:val="003962D0"/>
    <w:rsid w:val="003963D4"/>
    <w:rsid w:val="003A0B10"/>
    <w:rsid w:val="003B4BCA"/>
    <w:rsid w:val="003C4987"/>
    <w:rsid w:val="003D56F7"/>
    <w:rsid w:val="003F0041"/>
    <w:rsid w:val="003F16DA"/>
    <w:rsid w:val="003F6D7D"/>
    <w:rsid w:val="004014E7"/>
    <w:rsid w:val="00404013"/>
    <w:rsid w:val="00405F2F"/>
    <w:rsid w:val="0041154A"/>
    <w:rsid w:val="0042250E"/>
    <w:rsid w:val="004310CD"/>
    <w:rsid w:val="00436AA5"/>
    <w:rsid w:val="004428C5"/>
    <w:rsid w:val="00443891"/>
    <w:rsid w:val="0044503D"/>
    <w:rsid w:val="00454B29"/>
    <w:rsid w:val="004836A9"/>
    <w:rsid w:val="0048688B"/>
    <w:rsid w:val="004925CF"/>
    <w:rsid w:val="004934B2"/>
    <w:rsid w:val="004A325E"/>
    <w:rsid w:val="004A4ECC"/>
    <w:rsid w:val="004B129F"/>
    <w:rsid w:val="004B3FC9"/>
    <w:rsid w:val="004B6DB6"/>
    <w:rsid w:val="004C27B0"/>
    <w:rsid w:val="004D7668"/>
    <w:rsid w:val="004F2A13"/>
    <w:rsid w:val="004F45CD"/>
    <w:rsid w:val="00507E0F"/>
    <w:rsid w:val="0051342A"/>
    <w:rsid w:val="0051534D"/>
    <w:rsid w:val="005168F9"/>
    <w:rsid w:val="00516DC0"/>
    <w:rsid w:val="00516E7F"/>
    <w:rsid w:val="00521A8F"/>
    <w:rsid w:val="0052276F"/>
    <w:rsid w:val="00522AF1"/>
    <w:rsid w:val="00523139"/>
    <w:rsid w:val="00526455"/>
    <w:rsid w:val="005342B8"/>
    <w:rsid w:val="005464A7"/>
    <w:rsid w:val="0055147D"/>
    <w:rsid w:val="00553C4E"/>
    <w:rsid w:val="005542B7"/>
    <w:rsid w:val="0055499E"/>
    <w:rsid w:val="00560201"/>
    <w:rsid w:val="0056025E"/>
    <w:rsid w:val="00561231"/>
    <w:rsid w:val="0056135C"/>
    <w:rsid w:val="0056393F"/>
    <w:rsid w:val="0056474D"/>
    <w:rsid w:val="00564DBD"/>
    <w:rsid w:val="00565746"/>
    <w:rsid w:val="00575FB9"/>
    <w:rsid w:val="00585F8F"/>
    <w:rsid w:val="00587B0D"/>
    <w:rsid w:val="0059238F"/>
    <w:rsid w:val="005A4E9F"/>
    <w:rsid w:val="005A675E"/>
    <w:rsid w:val="005A7ACA"/>
    <w:rsid w:val="005B4126"/>
    <w:rsid w:val="005C6F87"/>
    <w:rsid w:val="005E05C6"/>
    <w:rsid w:val="005E2055"/>
    <w:rsid w:val="006109F5"/>
    <w:rsid w:val="00611B96"/>
    <w:rsid w:val="0062412B"/>
    <w:rsid w:val="00633078"/>
    <w:rsid w:val="00633BC0"/>
    <w:rsid w:val="00652F2D"/>
    <w:rsid w:val="006554D3"/>
    <w:rsid w:val="00673017"/>
    <w:rsid w:val="0067760E"/>
    <w:rsid w:val="00681674"/>
    <w:rsid w:val="00683484"/>
    <w:rsid w:val="00686A3A"/>
    <w:rsid w:val="00686E54"/>
    <w:rsid w:val="006872DE"/>
    <w:rsid w:val="006913F2"/>
    <w:rsid w:val="006A52B0"/>
    <w:rsid w:val="006B5AA1"/>
    <w:rsid w:val="006B6A47"/>
    <w:rsid w:val="006C2C6D"/>
    <w:rsid w:val="006D37F3"/>
    <w:rsid w:val="006D4006"/>
    <w:rsid w:val="006D4A3C"/>
    <w:rsid w:val="006E3BCC"/>
    <w:rsid w:val="006E73F7"/>
    <w:rsid w:val="006F2901"/>
    <w:rsid w:val="0071014A"/>
    <w:rsid w:val="007174C9"/>
    <w:rsid w:val="00730DD0"/>
    <w:rsid w:val="00731C9F"/>
    <w:rsid w:val="00732B09"/>
    <w:rsid w:val="0073578D"/>
    <w:rsid w:val="00744558"/>
    <w:rsid w:val="00750B4A"/>
    <w:rsid w:val="007528C2"/>
    <w:rsid w:val="00772DD9"/>
    <w:rsid w:val="00777C87"/>
    <w:rsid w:val="007A2FB5"/>
    <w:rsid w:val="007B48DD"/>
    <w:rsid w:val="007D259E"/>
    <w:rsid w:val="007D2764"/>
    <w:rsid w:val="007D5B73"/>
    <w:rsid w:val="007E77B0"/>
    <w:rsid w:val="007F46D5"/>
    <w:rsid w:val="00805A7D"/>
    <w:rsid w:val="00807E9B"/>
    <w:rsid w:val="0081193A"/>
    <w:rsid w:val="00815FB4"/>
    <w:rsid w:val="00821EE7"/>
    <w:rsid w:val="0082421C"/>
    <w:rsid w:val="00830D03"/>
    <w:rsid w:val="00836F48"/>
    <w:rsid w:val="00837004"/>
    <w:rsid w:val="00844839"/>
    <w:rsid w:val="00844A11"/>
    <w:rsid w:val="008517D0"/>
    <w:rsid w:val="008630F8"/>
    <w:rsid w:val="008635AF"/>
    <w:rsid w:val="008677F7"/>
    <w:rsid w:val="0087273B"/>
    <w:rsid w:val="00875618"/>
    <w:rsid w:val="00881517"/>
    <w:rsid w:val="0088321E"/>
    <w:rsid w:val="00884502"/>
    <w:rsid w:val="0088571E"/>
    <w:rsid w:val="00890489"/>
    <w:rsid w:val="008915C8"/>
    <w:rsid w:val="00895EC5"/>
    <w:rsid w:val="008A6752"/>
    <w:rsid w:val="008B4512"/>
    <w:rsid w:val="008B7BF2"/>
    <w:rsid w:val="008C11B5"/>
    <w:rsid w:val="008C4467"/>
    <w:rsid w:val="008D2DBB"/>
    <w:rsid w:val="008D4F8F"/>
    <w:rsid w:val="008E4993"/>
    <w:rsid w:val="008E4AAD"/>
    <w:rsid w:val="008F0FC5"/>
    <w:rsid w:val="00907A98"/>
    <w:rsid w:val="00910131"/>
    <w:rsid w:val="00913D9D"/>
    <w:rsid w:val="00914B34"/>
    <w:rsid w:val="00925F4F"/>
    <w:rsid w:val="00927DDC"/>
    <w:rsid w:val="00927F90"/>
    <w:rsid w:val="00946FA1"/>
    <w:rsid w:val="00950EE7"/>
    <w:rsid w:val="0095358D"/>
    <w:rsid w:val="00962148"/>
    <w:rsid w:val="0097260C"/>
    <w:rsid w:val="00976CF2"/>
    <w:rsid w:val="00977317"/>
    <w:rsid w:val="0098135B"/>
    <w:rsid w:val="009844F6"/>
    <w:rsid w:val="0098750E"/>
    <w:rsid w:val="009A0A73"/>
    <w:rsid w:val="009A6031"/>
    <w:rsid w:val="009B6C31"/>
    <w:rsid w:val="009C3652"/>
    <w:rsid w:val="009C51F7"/>
    <w:rsid w:val="009C7B3C"/>
    <w:rsid w:val="009D29A9"/>
    <w:rsid w:val="009D3B94"/>
    <w:rsid w:val="009D3C41"/>
    <w:rsid w:val="009E1D73"/>
    <w:rsid w:val="009E4122"/>
    <w:rsid w:val="009E49FB"/>
    <w:rsid w:val="009E7246"/>
    <w:rsid w:val="009E75A7"/>
    <w:rsid w:val="009F1DC8"/>
    <w:rsid w:val="009F5CC4"/>
    <w:rsid w:val="009F6066"/>
    <w:rsid w:val="00A005B6"/>
    <w:rsid w:val="00A105EC"/>
    <w:rsid w:val="00A162EB"/>
    <w:rsid w:val="00A17F11"/>
    <w:rsid w:val="00A26D23"/>
    <w:rsid w:val="00A2723F"/>
    <w:rsid w:val="00A3253C"/>
    <w:rsid w:val="00A414D0"/>
    <w:rsid w:val="00A45D7E"/>
    <w:rsid w:val="00A6440E"/>
    <w:rsid w:val="00A64C87"/>
    <w:rsid w:val="00A659FD"/>
    <w:rsid w:val="00A81609"/>
    <w:rsid w:val="00A8393B"/>
    <w:rsid w:val="00AA69CE"/>
    <w:rsid w:val="00AB634D"/>
    <w:rsid w:val="00AC3949"/>
    <w:rsid w:val="00AD38E2"/>
    <w:rsid w:val="00AD5AF9"/>
    <w:rsid w:val="00AD78F0"/>
    <w:rsid w:val="00AE4AA9"/>
    <w:rsid w:val="00AE5449"/>
    <w:rsid w:val="00AF2344"/>
    <w:rsid w:val="00AF5390"/>
    <w:rsid w:val="00AF5AF7"/>
    <w:rsid w:val="00B1126D"/>
    <w:rsid w:val="00B1671F"/>
    <w:rsid w:val="00B21FE5"/>
    <w:rsid w:val="00B23ADB"/>
    <w:rsid w:val="00B40559"/>
    <w:rsid w:val="00B4211F"/>
    <w:rsid w:val="00B44A34"/>
    <w:rsid w:val="00B451F9"/>
    <w:rsid w:val="00B54700"/>
    <w:rsid w:val="00B75D4F"/>
    <w:rsid w:val="00B83F82"/>
    <w:rsid w:val="00B85A66"/>
    <w:rsid w:val="00B90712"/>
    <w:rsid w:val="00BB62E0"/>
    <w:rsid w:val="00BC4B8D"/>
    <w:rsid w:val="00BD1057"/>
    <w:rsid w:val="00BD65E2"/>
    <w:rsid w:val="00BE07C6"/>
    <w:rsid w:val="00BE4975"/>
    <w:rsid w:val="00BE65B0"/>
    <w:rsid w:val="00BF18AD"/>
    <w:rsid w:val="00BF23F9"/>
    <w:rsid w:val="00BF6B7A"/>
    <w:rsid w:val="00BF7E25"/>
    <w:rsid w:val="00C0135A"/>
    <w:rsid w:val="00C0142D"/>
    <w:rsid w:val="00C03C01"/>
    <w:rsid w:val="00C11C88"/>
    <w:rsid w:val="00C33129"/>
    <w:rsid w:val="00C36456"/>
    <w:rsid w:val="00C6120C"/>
    <w:rsid w:val="00C638C0"/>
    <w:rsid w:val="00C74FD7"/>
    <w:rsid w:val="00C772D8"/>
    <w:rsid w:val="00C90B50"/>
    <w:rsid w:val="00C96398"/>
    <w:rsid w:val="00C97F29"/>
    <w:rsid w:val="00CB0170"/>
    <w:rsid w:val="00CB469E"/>
    <w:rsid w:val="00CB47E3"/>
    <w:rsid w:val="00CB6F8C"/>
    <w:rsid w:val="00CB6FCB"/>
    <w:rsid w:val="00CC06E2"/>
    <w:rsid w:val="00CC7546"/>
    <w:rsid w:val="00CD797E"/>
    <w:rsid w:val="00CF1AAA"/>
    <w:rsid w:val="00CF33F9"/>
    <w:rsid w:val="00CF3941"/>
    <w:rsid w:val="00CF68E3"/>
    <w:rsid w:val="00D016AE"/>
    <w:rsid w:val="00D03528"/>
    <w:rsid w:val="00D16479"/>
    <w:rsid w:val="00D24D10"/>
    <w:rsid w:val="00D275D7"/>
    <w:rsid w:val="00D27B75"/>
    <w:rsid w:val="00D44D62"/>
    <w:rsid w:val="00D53054"/>
    <w:rsid w:val="00D744A5"/>
    <w:rsid w:val="00D77088"/>
    <w:rsid w:val="00D77884"/>
    <w:rsid w:val="00D874AB"/>
    <w:rsid w:val="00D93850"/>
    <w:rsid w:val="00D97F40"/>
    <w:rsid w:val="00DA07C0"/>
    <w:rsid w:val="00DB0B03"/>
    <w:rsid w:val="00DB3630"/>
    <w:rsid w:val="00DC112B"/>
    <w:rsid w:val="00DC2477"/>
    <w:rsid w:val="00DC4AA3"/>
    <w:rsid w:val="00DC5447"/>
    <w:rsid w:val="00DC561F"/>
    <w:rsid w:val="00DC6CBB"/>
    <w:rsid w:val="00DD03F0"/>
    <w:rsid w:val="00DD045F"/>
    <w:rsid w:val="00DD558A"/>
    <w:rsid w:val="00DD736A"/>
    <w:rsid w:val="00E06B70"/>
    <w:rsid w:val="00E267CB"/>
    <w:rsid w:val="00E36E03"/>
    <w:rsid w:val="00E377F6"/>
    <w:rsid w:val="00E56032"/>
    <w:rsid w:val="00E57398"/>
    <w:rsid w:val="00E64C6A"/>
    <w:rsid w:val="00E655E5"/>
    <w:rsid w:val="00E74587"/>
    <w:rsid w:val="00E76312"/>
    <w:rsid w:val="00E811A7"/>
    <w:rsid w:val="00E83233"/>
    <w:rsid w:val="00E85F3F"/>
    <w:rsid w:val="00E94A8B"/>
    <w:rsid w:val="00E97F70"/>
    <w:rsid w:val="00EA07B6"/>
    <w:rsid w:val="00EB27A0"/>
    <w:rsid w:val="00EB4271"/>
    <w:rsid w:val="00EC51D1"/>
    <w:rsid w:val="00EC5263"/>
    <w:rsid w:val="00ED6D05"/>
    <w:rsid w:val="00EE44DE"/>
    <w:rsid w:val="00F037CE"/>
    <w:rsid w:val="00F10A7C"/>
    <w:rsid w:val="00F1624F"/>
    <w:rsid w:val="00F21062"/>
    <w:rsid w:val="00F31BE5"/>
    <w:rsid w:val="00F40356"/>
    <w:rsid w:val="00F40B16"/>
    <w:rsid w:val="00F40C20"/>
    <w:rsid w:val="00F40D35"/>
    <w:rsid w:val="00F503DE"/>
    <w:rsid w:val="00F67BA2"/>
    <w:rsid w:val="00F71D4A"/>
    <w:rsid w:val="00F75CD5"/>
    <w:rsid w:val="00F77277"/>
    <w:rsid w:val="00F86D48"/>
    <w:rsid w:val="00F96798"/>
    <w:rsid w:val="00FA6614"/>
    <w:rsid w:val="00FA7668"/>
    <w:rsid w:val="00FB4445"/>
    <w:rsid w:val="00FC1FEE"/>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7DE2A5"/>
  <w15:docId w15:val="{47A65261-5F7B-402E-903D-DFE1639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E06B70"/>
    <w:pPr>
      <w:keepNext/>
      <w:keepLines/>
      <w:spacing w:before="320" w:after="90"/>
      <w:outlineLvl w:val="1"/>
    </w:pPr>
    <w:rPr>
      <w:rFonts w:cs="Arial"/>
      <w:b/>
      <w:bCs/>
      <w:iCs/>
      <w:color w:val="007A45"/>
      <w:sz w:val="28"/>
      <w:szCs w:val="28"/>
    </w:rPr>
  </w:style>
  <w:style w:type="paragraph" w:styleId="Heading3">
    <w:name w:val="heading 3"/>
    <w:basedOn w:val="Normal"/>
    <w:next w:val="BodyText"/>
    <w:autoRedefine/>
    <w:qFormat/>
    <w:rsid w:val="00585F8F"/>
    <w:pPr>
      <w:keepNext/>
      <w:keepLines/>
      <w:outlineLvl w:val="2"/>
    </w:pPr>
    <w:rPr>
      <w:rFonts w:cs="Arial"/>
      <w:b/>
      <w:bCs/>
      <w:color w:val="3C3E42" w:themeColor="accent1"/>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 w:type="paragraph" w:customStyle="1" w:styleId="TableTitle">
    <w:name w:val="Table Title"/>
    <w:basedOn w:val="Normal"/>
    <w:next w:val="Normal"/>
    <w:rsid w:val="00CD797E"/>
    <w:pPr>
      <w:keepNext/>
      <w:keepLines/>
      <w:spacing w:after="100" w:line="200" w:lineRule="atLeast"/>
    </w:pPr>
    <w:rPr>
      <w:rFonts w:ascii="Arial Narrow" w:eastAsia="MS Mincho" w:hAnsi="Arial Narrow" w:cs="Arial"/>
      <w:b/>
      <w:color w:val="4E8ABE"/>
      <w:sz w:val="18"/>
      <w:szCs w:val="18"/>
      <w:lang w:eastAsia="en-US"/>
    </w:rPr>
  </w:style>
  <w:style w:type="paragraph" w:customStyle="1" w:styleId="Source">
    <w:name w:val="Source"/>
    <w:basedOn w:val="Normal"/>
    <w:next w:val="Normal"/>
    <w:link w:val="SourceChar"/>
    <w:autoRedefine/>
    <w:qFormat/>
    <w:rsid w:val="000F183C"/>
    <w:pPr>
      <w:keepLines/>
      <w:spacing w:before="40" w:after="40" w:line="180" w:lineRule="atLeast"/>
    </w:pPr>
    <w:rPr>
      <w:rFonts w:eastAsia="MS Mincho" w:cs="Arial"/>
      <w:color w:val="007A45"/>
      <w:sz w:val="16"/>
      <w:szCs w:val="19"/>
      <w:lang w:eastAsia="en-US"/>
    </w:rPr>
  </w:style>
  <w:style w:type="character" w:customStyle="1" w:styleId="SourceChar">
    <w:name w:val="Source Char"/>
    <w:basedOn w:val="DefaultParagraphFont"/>
    <w:link w:val="Source"/>
    <w:rsid w:val="000F183C"/>
    <w:rPr>
      <w:rFonts w:eastAsia="MS Mincho" w:cs="Arial"/>
      <w:color w:val="007A45"/>
      <w:sz w:val="16"/>
      <w:szCs w:val="19"/>
      <w:lang w:eastAsia="en-US"/>
    </w:rPr>
  </w:style>
  <w:style w:type="paragraph" w:customStyle="1" w:styleId="TableHeadBorder">
    <w:name w:val="Table Head Border"/>
    <w:basedOn w:val="Normal"/>
    <w:rsid w:val="00CD797E"/>
    <w:pPr>
      <w:keepNext/>
      <w:keepLines/>
      <w:pBdr>
        <w:bottom w:val="single" w:sz="6" w:space="1" w:color="auto"/>
      </w:pBdr>
      <w:spacing w:line="240" w:lineRule="auto"/>
      <w:jc w:val="center"/>
    </w:pPr>
    <w:rPr>
      <w:rFonts w:ascii="Arial Narrow" w:eastAsia="MS Mincho" w:hAnsi="Arial Narrow"/>
      <w:b/>
      <w:color w:val="000000"/>
      <w:sz w:val="16"/>
      <w:lang w:eastAsia="en-US"/>
    </w:rPr>
  </w:style>
  <w:style w:type="paragraph" w:styleId="BalloonText">
    <w:name w:val="Balloon Text"/>
    <w:basedOn w:val="Normal"/>
    <w:link w:val="BalloonTextChar"/>
    <w:semiHidden/>
    <w:unhideWhenUsed/>
    <w:rsid w:val="00CB4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469E"/>
    <w:rPr>
      <w:rFonts w:ascii="Segoe UI" w:hAnsi="Segoe UI" w:cs="Segoe UI"/>
      <w:sz w:val="18"/>
      <w:szCs w:val="18"/>
    </w:rPr>
  </w:style>
  <w:style w:type="paragraph" w:customStyle="1" w:styleId="xmsobodytext">
    <w:name w:val="x_msobodytext"/>
    <w:basedOn w:val="Normal"/>
    <w:rsid w:val="006E3BCC"/>
    <w:pPr>
      <w:spacing w:before="90" w:after="12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BF18AD"/>
    <w:rPr>
      <w:color w:val="605E5C"/>
      <w:shd w:val="clear" w:color="auto" w:fill="E1DFDD"/>
    </w:rPr>
  </w:style>
  <w:style w:type="paragraph" w:styleId="ListParagraph">
    <w:name w:val="List Paragraph"/>
    <w:basedOn w:val="Normal"/>
    <w:uiPriority w:val="34"/>
    <w:rsid w:val="006109F5"/>
    <w:pPr>
      <w:ind w:left="720"/>
      <w:contextualSpacing/>
    </w:pPr>
  </w:style>
  <w:style w:type="character" w:styleId="FollowedHyperlink">
    <w:name w:val="FollowedHyperlink"/>
    <w:basedOn w:val="DefaultParagraphFont"/>
    <w:semiHidden/>
    <w:unhideWhenUsed/>
    <w:rsid w:val="00AF2344"/>
    <w:rPr>
      <w:color w:val="83B82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footer" Target="footer2.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footer" Target="footer1.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wmf"/><Relationship Id="rId22" Type="http://schemas.openxmlformats.org/officeDocument/2006/relationships/image" Target="media/image8.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q.local\Corp\Templates\IOOF\IOOF%20flyer_General%20Client%20facing%20header.dotm" TargetMode="External"/></Relationship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4907-3486-4F26-BC53-BBF5C519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header.dotm</Template>
  <TotalTime>1905</TotalTime>
  <Pages>14</Pages>
  <Words>6843</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43420</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Commodore</dc:creator>
  <cp:lastModifiedBy>Cameron Curko</cp:lastModifiedBy>
  <cp:revision>27</cp:revision>
  <cp:lastPrinted>2020-11-13T07:00:00Z</cp:lastPrinted>
  <dcterms:created xsi:type="dcterms:W3CDTF">2020-10-27T05:59:00Z</dcterms:created>
  <dcterms:modified xsi:type="dcterms:W3CDTF">2020-11-16T02:37:00Z</dcterms:modified>
  <cp:category>Report</cp:category>
</cp:coreProperties>
</file>